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75C33">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关于2026年度山东省人文社会科学课题青年重点项目申报的通知</w:t>
      </w:r>
    </w:p>
    <w:p w14:paraId="27966A78">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 w:hAnsi="仿宋" w:eastAsia="仿宋" w:cs="仿宋"/>
          <w:sz w:val="32"/>
          <w:szCs w:val="40"/>
        </w:rPr>
      </w:pPr>
    </w:p>
    <w:p w14:paraId="77642F21">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仿宋" w:hAnsi="仿宋" w:eastAsia="仿宋" w:cs="仿宋"/>
          <w:sz w:val="32"/>
          <w:szCs w:val="40"/>
        </w:rPr>
      </w:pPr>
      <w:r>
        <w:rPr>
          <w:rFonts w:hint="eastAsia" w:ascii="仿宋" w:hAnsi="仿宋" w:eastAsia="仿宋" w:cs="仿宋"/>
          <w:sz w:val="32"/>
          <w:szCs w:val="40"/>
        </w:rPr>
        <w:t>各有关单位：</w:t>
      </w:r>
    </w:p>
    <w:p w14:paraId="29D25F3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现就申报2026年度山东省人文社会科学课题青年重点项目有关事项通知如下：</w:t>
      </w:r>
    </w:p>
    <w:p w14:paraId="6688442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一、课题范围</w:t>
      </w:r>
    </w:p>
    <w:p w14:paraId="04745804">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坚持以习近平新时代中国特色社会主义思想为指导，深入贯彻落实习近平总书记视察山东重要讲话、重要指示批示精神和关于哲学社会科学的重要论述，锚定山东“走在前、挑大梁”重大使命，聚焦构建中国哲学社会科学自主知识体系目标，围绕黄河重大国家战略、绿色低碳高质量发展先行区建设、文化强省等重点任务，坚持理论联系实际，突出问题导向、实践导向、学术导向，进一步激发青年人才团队科研活力，重点开展以下研究：</w:t>
      </w:r>
    </w:p>
    <w:p w14:paraId="03EF9B2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40"/>
        </w:rPr>
      </w:pPr>
      <w:r>
        <w:rPr>
          <w:rFonts w:hint="eastAsia" w:ascii="楷体" w:hAnsi="楷体" w:eastAsia="楷体" w:cs="楷体"/>
          <w:sz w:val="32"/>
          <w:szCs w:val="40"/>
        </w:rPr>
        <w:t>（一）习近平新时代中国特色社会主义思想体系化学理化研究</w:t>
      </w:r>
    </w:p>
    <w:p w14:paraId="176ECE3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充分运用哲学社会科学各学科的学术资源，从历史维度、学术基础、实践导向等方面着力，立足山东实践，系统阐释党的创新理论蕴含的道理、学理、哲理。</w:t>
      </w:r>
    </w:p>
    <w:p w14:paraId="2501D94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重点研究方向（包括但不限于以下）：</w:t>
      </w:r>
    </w:p>
    <w:p w14:paraId="324182C0">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1.习近平新时代中国特色社会主义思想体系化学理化阐释及山东实践研究；</w:t>
      </w:r>
    </w:p>
    <w:p w14:paraId="30D55C6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2.习近平党建思想的科学体系与原理性贡献研究；</w:t>
      </w:r>
    </w:p>
    <w:p w14:paraId="10D2670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3.习近平文化思想引领下山东文化强省建设路径研究；</w:t>
      </w:r>
    </w:p>
    <w:p w14:paraId="37990059">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4.“两个结合”视域下党的创新理论在山东的实践机理研究；</w:t>
      </w:r>
    </w:p>
    <w:p w14:paraId="200659C0">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5.数智时代党的创新理论宣传普及研究。</w:t>
      </w:r>
    </w:p>
    <w:p w14:paraId="5935D98E">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40"/>
        </w:rPr>
      </w:pPr>
      <w:r>
        <w:rPr>
          <w:rFonts w:hint="eastAsia" w:ascii="楷体" w:hAnsi="楷体" w:eastAsia="楷体" w:cs="楷体"/>
          <w:sz w:val="32"/>
          <w:szCs w:val="40"/>
        </w:rPr>
        <w:t>（二）山东推进中国式现代化建设的生动实践与案例研究</w:t>
      </w:r>
    </w:p>
    <w:p w14:paraId="617281B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聚焦“十五五”开局，围绕黄河重大国家战略、绿色低碳高质量发展先行区建设，开展系统性、针对性研究，服务落实国家战略，统筹高质量发展和高水平安全。</w:t>
      </w:r>
    </w:p>
    <w:p w14:paraId="370F6A7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重点研究方向（包括但不限于以下）：</w:t>
      </w:r>
    </w:p>
    <w:p w14:paraId="6F9B2A6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1.黄河流域生态保护与山东绿色低碳高质量发展先行区建设协同发展机制研究；</w:t>
      </w:r>
    </w:p>
    <w:p w14:paraId="7AB8053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2.新质生产力驱动山东实体经济与新兴未来产业协同发展机制研究；</w:t>
      </w:r>
    </w:p>
    <w:p w14:paraId="73FA91C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3.山东战略性新兴产业创新链—产业链—人才链耦合机制研究；</w:t>
      </w:r>
    </w:p>
    <w:p w14:paraId="11878D2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4.山东县域经济差异化发展与共同富裕实现路径研究；</w:t>
      </w:r>
    </w:p>
    <w:p w14:paraId="1CCF1EF4">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5.山东民营经济法治保障与营商环境优化研究。</w:t>
      </w:r>
    </w:p>
    <w:p w14:paraId="3A1D0ED4">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40"/>
        </w:rPr>
      </w:pPr>
      <w:r>
        <w:rPr>
          <w:rFonts w:hint="eastAsia" w:ascii="楷体" w:hAnsi="楷体" w:eastAsia="楷体" w:cs="楷体"/>
          <w:sz w:val="32"/>
          <w:szCs w:val="40"/>
        </w:rPr>
        <w:t>（三）学科建设与自主知识体系构建研究</w:t>
      </w:r>
    </w:p>
    <w:p w14:paraId="5A51B0A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密切跟踪国内外学术发展和学科建设前沿，立足山东改革发展实践提炼本土经验，开展标识性概念、原创性理论、学科发展史与新兴交叉学科研究，夯实学科根基，为加快构建中国哲学社会科学自主知识体系提供山东实践样本。</w:t>
      </w:r>
    </w:p>
    <w:p w14:paraId="357DC21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重点研究方向（包括但不限于以下）：</w:t>
      </w:r>
    </w:p>
    <w:p w14:paraId="56F8014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1.构建中国哲学社会科学自主知识体系的山东实践研究；</w:t>
      </w:r>
    </w:p>
    <w:p w14:paraId="7ACAF63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2.山东特色学科体系建设与自主知识体系拓展研究；</w:t>
      </w:r>
    </w:p>
    <w:p w14:paraId="20E5A73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3.学科发展史与学术谱系研究；</w:t>
      </w:r>
    </w:p>
    <w:p w14:paraId="58AD12C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4.山东哲学社会科学重点学科提质建设路径研究；</w:t>
      </w:r>
    </w:p>
    <w:p w14:paraId="026D073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5.古典学、文化遗产学、青年学、老年学、城市学等交叉学科创新培育研究。</w:t>
      </w:r>
    </w:p>
    <w:p w14:paraId="57A057C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40"/>
        </w:rPr>
      </w:pPr>
      <w:r>
        <w:rPr>
          <w:rFonts w:hint="eastAsia" w:ascii="楷体" w:hAnsi="楷体" w:eastAsia="楷体" w:cs="楷体"/>
          <w:sz w:val="32"/>
          <w:szCs w:val="40"/>
        </w:rPr>
        <w:t>（四）中华优秀传统文化、革命文化与文明传承发展研究</w:t>
      </w:r>
    </w:p>
    <w:p w14:paraId="4A7DD661">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传承中华文明、赓续文化根脉，推动中华优秀传统文化创造性转化、创新性发展，挖掘齐鲁文化、海岱文明、沂蒙红色文化时代价值，提升文化传播能力。</w:t>
      </w:r>
    </w:p>
    <w:p w14:paraId="650D60E4">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重点研究方向（包括但不限于以下）：</w:t>
      </w:r>
    </w:p>
    <w:p w14:paraId="5A95316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1.海岱文明与中华文明起源研究；</w:t>
      </w:r>
    </w:p>
    <w:p w14:paraId="606F9C3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2.齐鲁文化标识IP建构与国内外传播策略研究；</w:t>
      </w:r>
    </w:p>
    <w:p w14:paraId="46FA78F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3.山东非物质文化遗产数字化传承创新研究；</w:t>
      </w:r>
    </w:p>
    <w:p w14:paraId="6B91673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4.山东新大众文艺高质量发展路径研究；</w:t>
      </w:r>
    </w:p>
    <w:p w14:paraId="3180ABF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5.新时代山东红色文化品牌建设研究。</w:t>
      </w:r>
    </w:p>
    <w:p w14:paraId="4AE7DF0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40"/>
        </w:rPr>
      </w:pPr>
      <w:r>
        <w:rPr>
          <w:rFonts w:hint="eastAsia" w:ascii="楷体" w:hAnsi="楷体" w:eastAsia="楷体" w:cs="楷体"/>
          <w:sz w:val="32"/>
          <w:szCs w:val="40"/>
        </w:rPr>
        <w:t>（五）制度型开放与区域国别研究</w:t>
      </w:r>
    </w:p>
    <w:p w14:paraId="1DAD18C4">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立足山东沿海省份定位，深化对外开放、涉外风险防范相关问题研究，服务外贸发展与企业对外开放实践。</w:t>
      </w:r>
    </w:p>
    <w:p w14:paraId="0FFFD7B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重点研究方向（包括但不限于以下）：</w:t>
      </w:r>
    </w:p>
    <w:p w14:paraId="3CB9117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1.山东海洋经济与制度型开放融合及风险防控研究；</w:t>
      </w:r>
    </w:p>
    <w:p w14:paraId="49430B3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2.山东制度型开放的区域国别战略与风险防范研究；</w:t>
      </w:r>
    </w:p>
    <w:p w14:paraId="2F10E98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3.山东对接高标准国际经贸规则的地方实践研究；</w:t>
      </w:r>
    </w:p>
    <w:p w14:paraId="29AC7E6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4.“一带一路”框架下山东对外经贸合作韧性提升研究；</w:t>
      </w:r>
    </w:p>
    <w:p w14:paraId="6E13B7D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5.山东涉外法治保障与企业出海风险治理研究。</w:t>
      </w:r>
    </w:p>
    <w:p w14:paraId="1869975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40"/>
        </w:rPr>
      </w:pPr>
      <w:r>
        <w:rPr>
          <w:rFonts w:hint="eastAsia" w:ascii="楷体" w:hAnsi="楷体" w:eastAsia="楷体" w:cs="楷体"/>
          <w:sz w:val="32"/>
          <w:szCs w:val="40"/>
        </w:rPr>
        <w:t>（六）基层社会与民生治理现代化研究</w:t>
      </w:r>
    </w:p>
    <w:p w14:paraId="0B7814B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把握山东地方治理特点规律，聚焦民生保障、基层育人、公共服务等领域，探析新时代山东社会治理现代化实践路径。</w:t>
      </w:r>
    </w:p>
    <w:p w14:paraId="5A3E7EF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重点研究方向（包括但不限于以下）：</w:t>
      </w:r>
    </w:p>
    <w:p w14:paraId="34957A8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1.全生命周期视角下山东“一老一小”照护服务体系优化研究；</w:t>
      </w:r>
    </w:p>
    <w:p w14:paraId="43F7865E">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2.山东“家校社”协同育人模式创新研究；</w:t>
      </w:r>
    </w:p>
    <w:p w14:paraId="2CCAC3C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3.山东全民健身公共服务体系优化路径研究；</w:t>
      </w:r>
    </w:p>
    <w:p w14:paraId="75418E2F">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4.铸牢中华民族共同体意识的基层实践经验研究；</w:t>
      </w:r>
    </w:p>
    <w:p w14:paraId="554B04CF">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5.数字赋能山东基层社会治理现代化路径研究。</w:t>
      </w:r>
    </w:p>
    <w:p w14:paraId="610CF6CF">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40"/>
        </w:rPr>
      </w:pPr>
      <w:r>
        <w:rPr>
          <w:rFonts w:hint="eastAsia" w:ascii="楷体" w:hAnsi="楷体" w:eastAsia="楷体" w:cs="楷体"/>
          <w:sz w:val="32"/>
          <w:szCs w:val="40"/>
        </w:rPr>
        <w:t>（七）前沿领域与交叉研究</w:t>
      </w:r>
    </w:p>
    <w:p w14:paraId="4CCF1F7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注重大数据、数智技术、人工智能手段在哲学社会科学领域的应用，拓展研究视野，促进不同学科之间理论借鉴和深度融合。</w:t>
      </w:r>
    </w:p>
    <w:p w14:paraId="46EEA14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重点研究方向（包括但不限于以下）：</w:t>
      </w:r>
    </w:p>
    <w:p w14:paraId="0BFBF65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1.数智时代意识形态风险防范与治理研究；</w:t>
      </w:r>
    </w:p>
    <w:p w14:paraId="175DDDC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2.人工智能驱动社会科学研究范式变革的山东实践研究；</w:t>
      </w:r>
    </w:p>
    <w:p w14:paraId="5959E21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3.生成式人工智能应用中的文化安全风险治理</w:t>
      </w:r>
      <w:bookmarkStart w:id="0" w:name="_GoBack"/>
      <w:bookmarkEnd w:id="0"/>
      <w:r>
        <w:rPr>
          <w:rFonts w:hint="eastAsia" w:ascii="仿宋" w:hAnsi="仿宋" w:eastAsia="仿宋" w:cs="仿宋"/>
          <w:sz w:val="32"/>
          <w:szCs w:val="40"/>
        </w:rPr>
        <w:t>研究；</w:t>
      </w:r>
    </w:p>
    <w:p w14:paraId="56FC225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4.大数据赋能山东社会科学实证研究方法创新研究；</w:t>
      </w:r>
    </w:p>
    <w:p w14:paraId="07E73ECD">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5.数智化背景下山东劳动力供给变化与优化对策研究。</w:t>
      </w:r>
    </w:p>
    <w:p w14:paraId="3A5502AF">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40"/>
        </w:rPr>
      </w:pPr>
      <w:r>
        <w:rPr>
          <w:rFonts w:hint="eastAsia" w:ascii="楷体" w:hAnsi="楷体" w:eastAsia="楷体" w:cs="楷体"/>
          <w:sz w:val="32"/>
          <w:szCs w:val="40"/>
        </w:rPr>
        <w:t>（八）其他</w:t>
      </w:r>
    </w:p>
    <w:p w14:paraId="1C69A1D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对应项目定位和要求，着眼国家重大战略、省委省人民政府中心工作和学科发展需求，着眼党的创新理论和社会科学理论知识普及，突出问题意识，结合自身研究方向按照选题规范自主拟定题目申报，避免重复研究。</w:t>
      </w:r>
    </w:p>
    <w:p w14:paraId="48FF35C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二、申报条件</w:t>
      </w:r>
    </w:p>
    <w:p w14:paraId="4AFD8AD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1.山东省哲学社会科学青年人才团队、哲学社会科学智库专家团队、哲学社会科学实验室负责人及成员，我省高校、科研单位、企事业单位从事科研或教学的在职青年社科工作者（年龄不超过45周岁）。</w:t>
      </w:r>
    </w:p>
    <w:p w14:paraId="7DF2F54F">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2.申请人可自主选择省直部门（单位）、市社科联、高校社科联作为申报推荐单位，不接受个人名义申报。</w:t>
      </w:r>
    </w:p>
    <w:p w14:paraId="1FD1610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3.各推荐单位要着力提高申报质量，从严控制申报数量，减少同类选题重复申报。</w:t>
      </w:r>
    </w:p>
    <w:p w14:paraId="08F66F3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4.课题负责人只能由1人担任，课题组成员一般不超过5人。已承担省人文社科课题项目尚未结项（含入库在研课题）的，不接受本轮课题申报。</w:t>
      </w:r>
    </w:p>
    <w:p w14:paraId="36380E4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5.按照《关于进一步加强科研诚信建设的若干意见》要求，须如实填写申报材料，保证信息的真实性、准确性，无知识产权争议，没有违背科研诚信要求的行为。</w:t>
      </w:r>
    </w:p>
    <w:p w14:paraId="1712A90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三、申报组织</w:t>
      </w:r>
    </w:p>
    <w:p w14:paraId="4BFF882D">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申请人和推荐单位分别登录“山东省人文社会科学课题管理系统”（https://www.sdssdc.com/subject/loginhome）相应板块，根据操作提示完成申报。课题管理系统开放时间：申请人填写课题申请书时间，2026年10月27日8:00至11月12日18:00；各推荐单位受理申报、提交推荐意见时间，2026年11月9日8:00—11月13日18:00。各推荐单位务必点击“集中申报”完成审核推荐。逾期系统自动关闭，不再受理申报。</w:t>
      </w:r>
    </w:p>
    <w:p w14:paraId="32BC1FD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四、有关要求</w:t>
      </w:r>
    </w:p>
    <w:p w14:paraId="4479665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1.申报结束后，省社科联对所有申报课题进行形式审查。审查通过的课题纳入“在研项目库”，名单将在山东社科网发布。不再设立项评审环节，已明确进入在研项目库的项目即可开展研究，在研期为一年。</w:t>
      </w:r>
    </w:p>
    <w:p w14:paraId="3BED88A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2.自“在研项目库”通知发布之日起一年内，各课题负责人可依照《山东省人文社会科学课题管理办法》要求，随时提交结项申请。在研期结束后不再受理结项申请。</w:t>
      </w:r>
    </w:p>
    <w:p w14:paraId="636D748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3.在研期结束后，省社科联组织专家对课题阶段性研究成果和结项报告进行结项鉴定。根据质量遴选出50项予以结项和资助。</w:t>
      </w:r>
    </w:p>
    <w:p w14:paraId="2B4964F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4.课题成果发表、著作出版时，需注明“2026年度山东省人文社会科学课题青年重点项目”字样及入库在研编号。</w:t>
      </w:r>
    </w:p>
    <w:p w14:paraId="5E1755B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5.在研期内，课题形成具有决策咨询价值的阶段性成果或对策建议，可随时报送省社科联学术部，学术部择优遴选报送《山东社科成果专报》。成果获副省级及以上党委、政府领导同志肯定性批示的，履行相关程序后，免予鉴定、直接结项。报送邮箱：sklxsb@shandong.cn。</w:t>
      </w:r>
    </w:p>
    <w:p w14:paraId="4964F1FD">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五、联系方式</w:t>
      </w:r>
    </w:p>
    <w:p w14:paraId="23DF812F">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业务咨询：省社科联学术部 0531-82866375    82866358</w:t>
      </w:r>
    </w:p>
    <w:p w14:paraId="7D3A653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技术咨询：18353156052    15806909306</w:t>
      </w:r>
    </w:p>
    <w:p w14:paraId="754A2931">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rPr>
      </w:pPr>
    </w:p>
    <w:p w14:paraId="5E3C4816">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40"/>
        </w:rPr>
      </w:pPr>
      <w:r>
        <w:rPr>
          <w:rFonts w:hint="eastAsia" w:ascii="仿宋" w:hAnsi="仿宋" w:eastAsia="仿宋" w:cs="仿宋"/>
          <w:sz w:val="32"/>
          <w:szCs w:val="40"/>
        </w:rPr>
        <w:t>山东省社会科学界联合会</w:t>
      </w:r>
    </w:p>
    <w:p w14:paraId="294D0A84">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sz w:val="32"/>
          <w:szCs w:val="40"/>
          <w:lang w:val="en-US" w:eastAsia="zh-CN"/>
        </w:rPr>
      </w:pPr>
      <w:r>
        <w:rPr>
          <w:rFonts w:hint="eastAsia" w:ascii="仿宋" w:hAnsi="仿宋" w:eastAsia="仿宋" w:cs="仿宋"/>
          <w:sz w:val="32"/>
          <w:szCs w:val="40"/>
        </w:rPr>
        <w:t>2026年10月26日</w:t>
      </w:r>
      <w:r>
        <w:rPr>
          <w:rFonts w:hint="eastAsia" w:ascii="仿宋" w:hAnsi="仿宋" w:eastAsia="仿宋" w:cs="仿宋"/>
          <w:sz w:val="32"/>
          <w:szCs w:val="40"/>
          <w:lang w:val="en-US" w:eastAsia="zh-CN"/>
        </w:rPr>
        <w:t xml:space="preserve">  </w:t>
      </w:r>
    </w:p>
    <w:p w14:paraId="368A86D3">
      <w:pPr>
        <w:keepNext w:val="0"/>
        <w:keepLines w:val="0"/>
        <w:pageBreakBefore w:val="0"/>
        <w:widowControl w:val="0"/>
        <w:kinsoku/>
        <w:overflowPunct/>
        <w:topLinePunct w:val="0"/>
        <w:autoSpaceDE/>
        <w:autoSpaceDN/>
        <w:bidi w:val="0"/>
        <w:adjustRightInd/>
        <w:snapToGrid/>
        <w:spacing w:line="560" w:lineRule="exact"/>
        <w:jc w:val="right"/>
        <w:textAlignment w:val="auto"/>
        <w:rPr>
          <w:rFonts w:hint="eastAsia" w:ascii="仿宋" w:hAnsi="仿宋" w:eastAsia="仿宋" w:cs="仿宋"/>
          <w:sz w:val="32"/>
          <w:szCs w:val="40"/>
        </w:rPr>
      </w:pPr>
    </w:p>
    <w:p w14:paraId="2B0990BB">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 w:hAnsi="仿宋" w:eastAsia="仿宋" w:cs="仿宋"/>
          <w:sz w:val="32"/>
          <w:szCs w:val="40"/>
        </w:rPr>
      </w:pP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D2D6D"/>
    <w:rsid w:val="0EF02FB6"/>
    <w:rsid w:val="3FE609BA"/>
    <w:rsid w:val="4D0926CA"/>
    <w:rsid w:val="5A681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1328</Words>
  <Characters>1399</Characters>
  <Lines>0</Lines>
  <Paragraphs>0</Paragraphs>
  <TotalTime>10</TotalTime>
  <ScaleCrop>false</ScaleCrop>
  <LinksUpToDate>false</LinksUpToDate>
  <CharactersWithSpaces>1405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2026-10-12T02:38:00Z</dcterms:created>
  <dc:creator>QIT</dc:creator>
  <cp:lastModifiedBy>15165053076</cp:lastModifiedBy>
  <dcterms:modified xsi:type="dcterms:W3CDTF">2026-10-27T02:46:44Z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eyJoZGlkIjoiODZlOGY5YTI2NjIxMTQ3NzM3N2IyN2Y2OWRhZTIzMWQiLCJ1c2VySWQiOiIxNjMzMDcxMDkzIn0=</vt:lpwstr>
  </property>
  <property fmtid="{D5CDD505-2E9C-101B-9397-08002B2CF9AE}" pid="4" name="ICV">
    <vt:lpwstr>F8AFEE1D7957458EA606432A4F5D6A52_12</vt:lpwstr>
  </property>
</Properties>
</file>