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D9E0A">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i w:val="0"/>
          <w:iCs w:val="0"/>
          <w:caps w:val="0"/>
          <w:color w:val="auto"/>
          <w:spacing w:val="0"/>
          <w:sz w:val="28"/>
          <w:szCs w:val="28"/>
          <w:shd w:val="clear" w:fill="FFFFFF"/>
          <w:lang w:val="en-US" w:eastAsia="zh-CN"/>
        </w:rPr>
      </w:pPr>
      <w:r>
        <w:rPr>
          <w:rFonts w:hint="eastAsia" w:ascii="黑体" w:hAnsi="黑体" w:eastAsia="黑体" w:cs="黑体"/>
          <w:i w:val="0"/>
          <w:iCs w:val="0"/>
          <w:caps w:val="0"/>
          <w:color w:val="auto"/>
          <w:spacing w:val="0"/>
          <w:sz w:val="28"/>
          <w:szCs w:val="28"/>
          <w:shd w:val="clear" w:fill="FFFFFF"/>
          <w:lang w:val="en-US" w:eastAsia="zh-CN"/>
        </w:rPr>
        <w:t>附件1</w:t>
      </w:r>
    </w:p>
    <w:p w14:paraId="2AE6AEB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i w:val="0"/>
          <w:iCs w:val="0"/>
          <w:caps w:val="0"/>
          <w:color w:val="auto"/>
          <w:spacing w:val="0"/>
          <w:sz w:val="28"/>
          <w:szCs w:val="28"/>
          <w:shd w:val="clear" w:fill="FFFFFF"/>
          <w:lang w:val="en-US" w:eastAsia="zh-CN"/>
        </w:rPr>
      </w:pPr>
    </w:p>
    <w:p w14:paraId="0F4EF5F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i w:val="0"/>
          <w:iCs w:val="0"/>
          <w:caps w:val="0"/>
          <w:color w:val="auto"/>
          <w:spacing w:val="0"/>
          <w:sz w:val="44"/>
          <w:szCs w:val="44"/>
          <w:u w:val="none"/>
          <w:shd w:val="clear" w:fill="FFFFFF"/>
          <w:lang w:val="en-US" w:eastAsia="zh-CN"/>
        </w:rPr>
      </w:pPr>
      <w:r>
        <w:rPr>
          <w:rFonts w:hint="eastAsia" w:ascii="方正小标宋简体" w:hAnsi="方正小标宋简体" w:eastAsia="方正小标宋简体" w:cs="方正小标宋简体"/>
          <w:i w:val="0"/>
          <w:iCs w:val="0"/>
          <w:caps w:val="0"/>
          <w:color w:val="auto"/>
          <w:spacing w:val="0"/>
          <w:sz w:val="44"/>
          <w:szCs w:val="44"/>
          <w:u w:val="none"/>
          <w:shd w:val="clear" w:fill="FFFFFF"/>
          <w:lang w:val="en-US" w:eastAsia="zh-CN"/>
        </w:rPr>
        <w:t>2027年度济南市哲学社会科学规划研究项目</w:t>
      </w:r>
    </w:p>
    <w:p w14:paraId="296136E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i w:val="0"/>
          <w:iCs w:val="0"/>
          <w:caps w:val="0"/>
          <w:color w:val="auto"/>
          <w:spacing w:val="0"/>
          <w:sz w:val="44"/>
          <w:szCs w:val="44"/>
          <w:u w:val="none"/>
          <w:shd w:val="clear" w:fill="FFFFFF"/>
          <w:lang w:val="en-US" w:eastAsia="zh-CN"/>
        </w:rPr>
      </w:pPr>
      <w:r>
        <w:rPr>
          <w:rFonts w:hint="eastAsia" w:ascii="方正小标宋简体" w:hAnsi="方正小标宋简体" w:eastAsia="方正小标宋简体" w:cs="方正小标宋简体"/>
          <w:i w:val="0"/>
          <w:iCs w:val="0"/>
          <w:caps w:val="0"/>
          <w:color w:val="auto"/>
          <w:spacing w:val="0"/>
          <w:sz w:val="44"/>
          <w:szCs w:val="44"/>
          <w:u w:val="none"/>
          <w:shd w:val="clear" w:fill="FFFFFF"/>
          <w:lang w:val="en-US" w:eastAsia="zh-CN"/>
        </w:rPr>
        <w:t>课题指南</w:t>
      </w:r>
    </w:p>
    <w:p w14:paraId="67D4765E">
      <w:pPr>
        <w:keepNext w:val="0"/>
        <w:keepLines w:val="0"/>
        <w:pageBreakBefore w:val="0"/>
        <w:widowControl/>
        <w:kinsoku/>
        <w:wordWrap/>
        <w:overflowPunct/>
        <w:topLinePunct w:val="0"/>
        <w:autoSpaceDE/>
        <w:autoSpaceDN/>
        <w:bidi w:val="0"/>
        <w:adjustRightInd/>
        <w:snapToGrid/>
        <w:spacing w:line="580" w:lineRule="exact"/>
        <w:textAlignment w:val="auto"/>
        <w:rPr>
          <w:rFonts w:hint="eastAsia" w:ascii="黑体" w:hAnsi="黑体" w:eastAsia="黑体" w:cs="黑体"/>
          <w:color w:val="auto"/>
          <w:spacing w:val="0"/>
          <w:sz w:val="32"/>
          <w:szCs w:val="32"/>
          <w:u w:val="none"/>
          <w:lang w:val="en-US" w:eastAsia="zh-CN"/>
        </w:rPr>
      </w:pPr>
    </w:p>
    <w:p w14:paraId="32A175DB">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jc w:val="left"/>
        <w:textAlignment w:val="auto"/>
        <w:rPr>
          <w:rFonts w:hint="eastAsia" w:ascii="黑体" w:hAnsi="黑体" w:eastAsia="黑体" w:cs="Times New Roman"/>
          <w:color w:val="auto"/>
          <w:spacing w:val="0"/>
          <w:sz w:val="32"/>
          <w:szCs w:val="32"/>
          <w:u w:val="none"/>
          <w:lang w:eastAsia="zh-CN"/>
        </w:rPr>
      </w:pPr>
      <w:r>
        <w:rPr>
          <w:rFonts w:hint="eastAsia" w:ascii="黑体" w:hAnsi="黑体" w:eastAsia="黑体" w:cs="Times New Roman"/>
          <w:color w:val="auto"/>
          <w:spacing w:val="0"/>
          <w:sz w:val="32"/>
          <w:szCs w:val="32"/>
          <w:u w:val="none"/>
          <w:lang w:eastAsia="zh-CN"/>
        </w:rPr>
        <w:t>党的创新理论体系化学理化研究阐释</w:t>
      </w:r>
    </w:p>
    <w:p w14:paraId="181CE3AB">
      <w:pPr>
        <w:keepNext w:val="0"/>
        <w:keepLines w:val="0"/>
        <w:pageBreakBefore w:val="0"/>
        <w:widowControl w:val="0"/>
        <w:numPr>
          <w:ilvl w:val="0"/>
          <w:numId w:val="2"/>
        </w:numPr>
        <w:kinsoku/>
        <w:wordWrap/>
        <w:topLinePunct w:val="0"/>
        <w:bidi w:val="0"/>
        <w:adjustRightInd w:val="0"/>
        <w:spacing w:line="580" w:lineRule="exact"/>
        <w:ind w:firstLine="616" w:firstLineChars="200"/>
        <w:jc w:val="left"/>
        <w:textAlignment w:val="baseline"/>
        <w:rPr>
          <w:rFonts w:hint="default" w:ascii="仿宋_GB2312" w:hAnsi="Calibri" w:eastAsia="仿宋_GB2312" w:cs="Times New Roman"/>
          <w:color w:val="auto"/>
          <w:spacing w:val="-6"/>
          <w:kern w:val="2"/>
          <w:sz w:val="32"/>
          <w:szCs w:val="32"/>
          <w:u w:val="none"/>
          <w:lang w:val="en-US" w:eastAsia="zh-CN" w:bidi="ar-SA"/>
        </w:rPr>
      </w:pPr>
      <w:r>
        <w:rPr>
          <w:rFonts w:hint="default" w:ascii="仿宋_GB2312" w:hAnsi="Calibri" w:eastAsia="仿宋_GB2312" w:cs="Times New Roman"/>
          <w:color w:val="auto"/>
          <w:spacing w:val="-6"/>
          <w:kern w:val="2"/>
          <w:sz w:val="32"/>
          <w:szCs w:val="32"/>
          <w:u w:val="none"/>
          <w:lang w:val="en-US" w:eastAsia="zh-CN" w:bidi="ar-SA"/>
        </w:rPr>
        <w:t>习近平新时代中国特色社会主义思想体系化学理化阐释</w:t>
      </w:r>
      <w:r>
        <w:rPr>
          <w:rFonts w:hint="eastAsia" w:ascii="仿宋_GB2312" w:hAnsi="Calibri" w:eastAsia="仿宋_GB2312" w:cs="Times New Roman"/>
          <w:color w:val="auto"/>
          <w:spacing w:val="-6"/>
          <w:kern w:val="2"/>
          <w:sz w:val="32"/>
          <w:szCs w:val="32"/>
          <w:u w:val="none"/>
          <w:lang w:val="en-US" w:eastAsia="zh-CN" w:bidi="ar-SA"/>
        </w:rPr>
        <w:t>研究</w:t>
      </w:r>
    </w:p>
    <w:p w14:paraId="68E3C559">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习近平</w:t>
      </w:r>
      <w:r>
        <w:rPr>
          <w:rFonts w:hint="eastAsia" w:ascii="仿宋_GB2312" w:hAnsi="Calibri" w:eastAsia="仿宋_GB2312" w:cs="Times New Roman"/>
          <w:color w:val="auto"/>
          <w:spacing w:val="-11"/>
          <w:kern w:val="2"/>
          <w:sz w:val="32"/>
          <w:szCs w:val="32"/>
          <w:u w:val="none"/>
          <w:lang w:val="en-US" w:eastAsia="zh-CN" w:bidi="ar-SA"/>
        </w:rPr>
        <w:t>新时代中国特色社会主义思想的世界观和方法论研究</w:t>
      </w:r>
    </w:p>
    <w:p w14:paraId="5CE65E81">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习近平新时代中国特色社会主义思想的国际传播研究</w:t>
      </w:r>
    </w:p>
    <w:p w14:paraId="57B70F2E">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default" w:ascii="仿宋_GB2312" w:hAnsi="Calibri" w:eastAsia="仿宋_GB2312" w:cs="Times New Roman"/>
          <w:color w:val="auto"/>
          <w:spacing w:val="0"/>
          <w:kern w:val="2"/>
          <w:sz w:val="32"/>
          <w:szCs w:val="32"/>
          <w:u w:val="none"/>
          <w:lang w:val="en-US" w:eastAsia="zh-CN" w:bidi="ar-SA"/>
        </w:rPr>
        <w:t>习近平经济思想</w:t>
      </w:r>
      <w:r>
        <w:rPr>
          <w:rFonts w:hint="eastAsia" w:ascii="仿宋_GB2312" w:hAnsi="Calibri" w:eastAsia="仿宋_GB2312" w:cs="Times New Roman"/>
          <w:color w:val="auto"/>
          <w:spacing w:val="0"/>
          <w:kern w:val="2"/>
          <w:sz w:val="32"/>
          <w:szCs w:val="32"/>
          <w:u w:val="none"/>
          <w:lang w:val="en-US" w:eastAsia="zh-CN" w:bidi="ar-SA"/>
        </w:rPr>
        <w:t>研究</w:t>
      </w:r>
    </w:p>
    <w:p w14:paraId="609B75B8">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default" w:ascii="仿宋_GB2312" w:hAnsi="Calibri" w:eastAsia="仿宋_GB2312" w:cs="Times New Roman"/>
          <w:color w:val="auto"/>
          <w:spacing w:val="0"/>
          <w:kern w:val="2"/>
          <w:sz w:val="32"/>
          <w:szCs w:val="32"/>
          <w:u w:val="none"/>
          <w:lang w:val="en-US" w:eastAsia="zh-CN" w:bidi="ar-SA"/>
        </w:rPr>
      </w:pPr>
      <w:r>
        <w:rPr>
          <w:rFonts w:hint="default" w:ascii="仿宋_GB2312" w:hAnsi="Calibri" w:eastAsia="仿宋_GB2312" w:cs="Times New Roman"/>
          <w:color w:val="auto"/>
          <w:spacing w:val="0"/>
          <w:kern w:val="2"/>
          <w:sz w:val="32"/>
          <w:szCs w:val="32"/>
          <w:u w:val="none"/>
          <w:lang w:val="en-US" w:eastAsia="zh-CN" w:bidi="ar-SA"/>
        </w:rPr>
        <w:t>习近平法治思想</w:t>
      </w:r>
      <w:r>
        <w:rPr>
          <w:rFonts w:hint="eastAsia" w:ascii="仿宋_GB2312" w:hAnsi="Calibri" w:eastAsia="仿宋_GB2312" w:cs="Times New Roman"/>
          <w:color w:val="auto"/>
          <w:spacing w:val="0"/>
          <w:kern w:val="2"/>
          <w:sz w:val="32"/>
          <w:szCs w:val="32"/>
          <w:u w:val="none"/>
          <w:lang w:val="en-US" w:eastAsia="zh-CN" w:bidi="ar-SA"/>
        </w:rPr>
        <w:t>研究</w:t>
      </w:r>
    </w:p>
    <w:p w14:paraId="27B2ACA9">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default" w:ascii="仿宋_GB2312" w:hAnsi="Calibri" w:eastAsia="仿宋_GB2312" w:cs="Times New Roman"/>
          <w:color w:val="auto"/>
          <w:spacing w:val="0"/>
          <w:kern w:val="2"/>
          <w:sz w:val="32"/>
          <w:szCs w:val="32"/>
          <w:u w:val="none"/>
          <w:lang w:val="en-US" w:eastAsia="zh-CN" w:bidi="ar-SA"/>
        </w:rPr>
      </w:pPr>
      <w:r>
        <w:rPr>
          <w:rFonts w:hint="default" w:ascii="仿宋_GB2312" w:hAnsi="Calibri" w:eastAsia="仿宋_GB2312" w:cs="Times New Roman"/>
          <w:color w:val="auto"/>
          <w:spacing w:val="0"/>
          <w:kern w:val="2"/>
          <w:sz w:val="32"/>
          <w:szCs w:val="32"/>
          <w:u w:val="none"/>
          <w:lang w:val="en-US" w:eastAsia="zh-CN" w:bidi="ar-SA"/>
        </w:rPr>
        <w:t>习近平文化思想</w:t>
      </w:r>
      <w:r>
        <w:rPr>
          <w:rFonts w:hint="eastAsia" w:ascii="仿宋_GB2312" w:hAnsi="Calibri" w:eastAsia="仿宋_GB2312" w:cs="Times New Roman"/>
          <w:color w:val="auto"/>
          <w:spacing w:val="0"/>
          <w:kern w:val="2"/>
          <w:sz w:val="32"/>
          <w:szCs w:val="32"/>
          <w:u w:val="none"/>
          <w:lang w:val="en-US" w:eastAsia="zh-CN" w:bidi="ar-SA"/>
        </w:rPr>
        <w:t>研究</w:t>
      </w:r>
    </w:p>
    <w:p w14:paraId="47D07B95">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default" w:ascii="仿宋_GB2312" w:hAnsi="Calibri" w:eastAsia="仿宋_GB2312" w:cs="Times New Roman"/>
          <w:color w:val="auto"/>
          <w:spacing w:val="0"/>
          <w:kern w:val="2"/>
          <w:sz w:val="32"/>
          <w:szCs w:val="32"/>
          <w:u w:val="none"/>
          <w:lang w:val="en-US" w:eastAsia="zh-CN" w:bidi="ar-SA"/>
        </w:rPr>
      </w:pPr>
      <w:r>
        <w:rPr>
          <w:rFonts w:hint="default" w:ascii="仿宋_GB2312" w:hAnsi="Calibri" w:eastAsia="仿宋_GB2312" w:cs="Times New Roman"/>
          <w:color w:val="auto"/>
          <w:spacing w:val="0"/>
          <w:kern w:val="2"/>
          <w:sz w:val="32"/>
          <w:szCs w:val="32"/>
          <w:u w:val="none"/>
          <w:lang w:val="en-US" w:eastAsia="zh-CN" w:bidi="ar-SA"/>
        </w:rPr>
        <w:t>习近平生态文明思想</w:t>
      </w:r>
      <w:r>
        <w:rPr>
          <w:rFonts w:hint="eastAsia" w:ascii="仿宋_GB2312" w:hAnsi="Calibri" w:eastAsia="仿宋_GB2312" w:cs="Times New Roman"/>
          <w:color w:val="auto"/>
          <w:spacing w:val="0"/>
          <w:kern w:val="2"/>
          <w:sz w:val="32"/>
          <w:szCs w:val="32"/>
          <w:u w:val="none"/>
          <w:lang w:val="en-US" w:eastAsia="zh-CN" w:bidi="ar-SA"/>
        </w:rPr>
        <w:t>研究</w:t>
      </w:r>
    </w:p>
    <w:p w14:paraId="7D791AF2">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default" w:ascii="仿宋_GB2312" w:hAnsi="Calibri" w:eastAsia="仿宋_GB2312" w:cs="Times New Roman"/>
          <w:color w:val="auto"/>
          <w:spacing w:val="0"/>
          <w:kern w:val="2"/>
          <w:sz w:val="32"/>
          <w:szCs w:val="32"/>
          <w:u w:val="none"/>
          <w:lang w:val="en-US" w:eastAsia="zh-CN" w:bidi="ar-SA"/>
        </w:rPr>
      </w:pPr>
      <w:r>
        <w:rPr>
          <w:rFonts w:hint="default" w:ascii="仿宋_GB2312" w:hAnsi="Calibri" w:eastAsia="仿宋_GB2312" w:cs="Times New Roman"/>
          <w:color w:val="auto"/>
          <w:spacing w:val="0"/>
          <w:kern w:val="2"/>
          <w:sz w:val="32"/>
          <w:szCs w:val="32"/>
          <w:u w:val="none"/>
          <w:lang w:val="en-US" w:eastAsia="zh-CN" w:bidi="ar-SA"/>
        </w:rPr>
        <w:t>习近平强军思想</w:t>
      </w:r>
      <w:r>
        <w:rPr>
          <w:rFonts w:hint="eastAsia" w:ascii="仿宋_GB2312" w:hAnsi="Calibri" w:eastAsia="仿宋_GB2312" w:cs="Times New Roman"/>
          <w:color w:val="auto"/>
          <w:spacing w:val="0"/>
          <w:kern w:val="2"/>
          <w:sz w:val="32"/>
          <w:szCs w:val="32"/>
          <w:u w:val="none"/>
          <w:lang w:val="en-US" w:eastAsia="zh-CN" w:bidi="ar-SA"/>
        </w:rPr>
        <w:t>研究</w:t>
      </w:r>
    </w:p>
    <w:p w14:paraId="204064F4">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default" w:ascii="仿宋_GB2312" w:hAnsi="Calibri" w:eastAsia="仿宋_GB2312" w:cs="Times New Roman"/>
          <w:color w:val="auto"/>
          <w:spacing w:val="0"/>
          <w:kern w:val="2"/>
          <w:sz w:val="32"/>
          <w:szCs w:val="32"/>
          <w:u w:val="none"/>
          <w:lang w:val="en-US" w:eastAsia="zh-CN" w:bidi="ar-SA"/>
        </w:rPr>
      </w:pPr>
      <w:r>
        <w:rPr>
          <w:rFonts w:hint="default" w:ascii="仿宋_GB2312" w:hAnsi="Calibri" w:eastAsia="仿宋_GB2312" w:cs="Times New Roman"/>
          <w:color w:val="auto"/>
          <w:spacing w:val="0"/>
          <w:kern w:val="2"/>
          <w:sz w:val="32"/>
          <w:szCs w:val="32"/>
          <w:u w:val="none"/>
          <w:lang w:val="en-US" w:eastAsia="zh-CN" w:bidi="ar-SA"/>
        </w:rPr>
        <w:t>习近平外交思想</w:t>
      </w:r>
      <w:r>
        <w:rPr>
          <w:rFonts w:hint="eastAsia" w:ascii="仿宋_GB2312" w:hAnsi="Calibri" w:eastAsia="仿宋_GB2312" w:cs="Times New Roman"/>
          <w:color w:val="auto"/>
          <w:spacing w:val="0"/>
          <w:kern w:val="2"/>
          <w:sz w:val="32"/>
          <w:szCs w:val="32"/>
          <w:u w:val="none"/>
          <w:lang w:val="en-US" w:eastAsia="zh-CN" w:bidi="ar-SA"/>
        </w:rPr>
        <w:t>研究</w:t>
      </w:r>
    </w:p>
    <w:p w14:paraId="6FFC8D2F">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default" w:ascii="仿宋_GB2312" w:hAnsi="Calibri" w:eastAsia="仿宋_GB2312" w:cs="Times New Roman"/>
          <w:color w:val="auto"/>
          <w:spacing w:val="0"/>
          <w:kern w:val="2"/>
          <w:sz w:val="32"/>
          <w:szCs w:val="32"/>
          <w:u w:val="none"/>
          <w:lang w:val="en-US" w:eastAsia="zh-CN" w:bidi="ar-SA"/>
        </w:rPr>
      </w:pPr>
      <w:r>
        <w:rPr>
          <w:rFonts w:hint="default" w:ascii="仿宋_GB2312" w:hAnsi="Calibri" w:eastAsia="仿宋_GB2312" w:cs="Times New Roman"/>
          <w:color w:val="auto"/>
          <w:spacing w:val="0"/>
          <w:kern w:val="2"/>
          <w:sz w:val="32"/>
          <w:szCs w:val="32"/>
          <w:u w:val="none"/>
          <w:lang w:val="en-US" w:eastAsia="zh-CN" w:bidi="ar-SA"/>
        </w:rPr>
        <w:t>习近平党建思想</w:t>
      </w:r>
      <w:r>
        <w:rPr>
          <w:rFonts w:hint="eastAsia" w:ascii="仿宋_GB2312" w:hAnsi="Calibri" w:eastAsia="仿宋_GB2312" w:cs="Times New Roman"/>
          <w:color w:val="auto"/>
          <w:spacing w:val="0"/>
          <w:kern w:val="2"/>
          <w:sz w:val="32"/>
          <w:szCs w:val="32"/>
          <w:u w:val="none"/>
          <w:lang w:val="en-US" w:eastAsia="zh-CN" w:bidi="ar-SA"/>
        </w:rPr>
        <w:t>研究</w:t>
      </w:r>
    </w:p>
    <w:p w14:paraId="177E312A">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习近平总书记关于“三农”工作的重要论述研究</w:t>
      </w:r>
    </w:p>
    <w:p w14:paraId="033881D5">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习近平总书记关于城市工作的重要论述研究</w:t>
      </w:r>
    </w:p>
    <w:p w14:paraId="2E03C919">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习近平总书记关于网络强国的重要思想研究</w:t>
      </w:r>
    </w:p>
    <w:p w14:paraId="5DBFDD6E">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习近平总书记关于安全生产的重要论述研究</w:t>
      </w:r>
    </w:p>
    <w:p w14:paraId="4DE4FF57">
      <w:pPr>
        <w:keepNext w:val="0"/>
        <w:keepLines w:val="0"/>
        <w:pageBreakBefore w:val="0"/>
        <w:widowControl w:val="0"/>
        <w:numPr>
          <w:ilvl w:val="0"/>
          <w:numId w:val="2"/>
        </w:numPr>
        <w:kinsoku/>
        <w:wordWrap/>
        <w:topLinePunct w:val="0"/>
        <w:bidi w:val="0"/>
        <w:adjustRightInd w:val="0"/>
        <w:spacing w:line="580" w:lineRule="exact"/>
        <w:ind w:firstLine="616" w:firstLineChars="200"/>
        <w:jc w:val="left"/>
        <w:textAlignment w:val="baseline"/>
        <w:rPr>
          <w:rFonts w:hint="default" w:ascii="仿宋_GB2312" w:hAnsi="Calibri" w:eastAsia="仿宋_GB2312" w:cs="Times New Roman"/>
          <w:color w:val="auto"/>
          <w:spacing w:val="-6"/>
          <w:kern w:val="2"/>
          <w:sz w:val="32"/>
          <w:szCs w:val="32"/>
          <w:u w:val="none"/>
          <w:lang w:val="en-US" w:eastAsia="zh-CN" w:bidi="ar-SA"/>
        </w:rPr>
      </w:pPr>
      <w:r>
        <w:rPr>
          <w:rFonts w:hint="eastAsia" w:ascii="仿宋_GB2312" w:hAnsi="Calibri" w:eastAsia="仿宋_GB2312" w:cs="Times New Roman"/>
          <w:color w:val="auto"/>
          <w:spacing w:val="-6"/>
          <w:kern w:val="2"/>
          <w:sz w:val="32"/>
          <w:szCs w:val="32"/>
          <w:u w:val="none"/>
          <w:lang w:val="en-US" w:eastAsia="zh-CN" w:bidi="ar-SA"/>
        </w:rPr>
        <w:t>习近平总书记关于树立和践行正确政绩观的重要论述研究</w:t>
      </w:r>
    </w:p>
    <w:p w14:paraId="757B1BE4">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习近平总书记关于做好新时代党的统一战线工作的重要思想研究</w:t>
      </w:r>
    </w:p>
    <w:p w14:paraId="1A3F57E5">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default" w:ascii="仿宋_GB2312" w:hAnsi="Calibri" w:eastAsia="仿宋_GB2312" w:cs="Times New Roman"/>
          <w:color w:val="auto"/>
          <w:spacing w:val="0"/>
          <w:kern w:val="2"/>
          <w:sz w:val="32"/>
          <w:szCs w:val="32"/>
          <w:u w:val="none"/>
          <w:lang w:val="en-US" w:eastAsia="zh-CN" w:bidi="ar-SA"/>
        </w:rPr>
      </w:pPr>
      <w:r>
        <w:rPr>
          <w:rFonts w:hint="default" w:ascii="仿宋_GB2312" w:hAnsi="Calibri" w:eastAsia="仿宋_GB2312" w:cs="Times New Roman"/>
          <w:color w:val="auto"/>
          <w:spacing w:val="0"/>
          <w:kern w:val="2"/>
          <w:sz w:val="32"/>
          <w:szCs w:val="32"/>
          <w:u w:val="none"/>
          <w:lang w:val="en-US" w:eastAsia="zh-CN" w:bidi="ar-SA"/>
        </w:rPr>
        <w:t>习近平总书记关于区域协调发展的重要论述</w:t>
      </w:r>
      <w:r>
        <w:rPr>
          <w:rFonts w:hint="eastAsia" w:ascii="仿宋_GB2312" w:hAnsi="Calibri" w:eastAsia="仿宋_GB2312" w:cs="Times New Roman"/>
          <w:color w:val="auto"/>
          <w:spacing w:val="0"/>
          <w:kern w:val="2"/>
          <w:sz w:val="32"/>
          <w:szCs w:val="32"/>
          <w:u w:val="none"/>
          <w:lang w:val="en-US" w:eastAsia="zh-CN" w:bidi="ar-SA"/>
        </w:rPr>
        <w:t>研究</w:t>
      </w:r>
    </w:p>
    <w:p w14:paraId="5D227F64">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default" w:ascii="仿宋_GB2312" w:hAnsi="Calibri" w:eastAsia="仿宋_GB2312" w:cs="Times New Roman"/>
          <w:color w:val="auto"/>
          <w:spacing w:val="0"/>
          <w:kern w:val="2"/>
          <w:sz w:val="32"/>
          <w:szCs w:val="32"/>
          <w:u w:val="none"/>
          <w:lang w:val="en-US" w:eastAsia="zh-CN" w:bidi="ar-SA"/>
        </w:rPr>
      </w:pPr>
      <w:r>
        <w:rPr>
          <w:rFonts w:hint="default" w:ascii="仿宋_GB2312" w:hAnsi="Calibri" w:eastAsia="仿宋_GB2312" w:cs="Times New Roman"/>
          <w:color w:val="auto"/>
          <w:spacing w:val="0"/>
          <w:kern w:val="2"/>
          <w:sz w:val="32"/>
          <w:szCs w:val="32"/>
          <w:u w:val="none"/>
          <w:lang w:val="en-US" w:eastAsia="zh-CN" w:bidi="ar-SA"/>
        </w:rPr>
        <w:t>习近平总书记关于做好新时代人才工作的重要思想</w:t>
      </w:r>
      <w:r>
        <w:rPr>
          <w:rFonts w:hint="eastAsia" w:ascii="仿宋_GB2312" w:hAnsi="Calibri" w:eastAsia="仿宋_GB2312" w:cs="Times New Roman"/>
          <w:color w:val="auto"/>
          <w:spacing w:val="0"/>
          <w:kern w:val="2"/>
          <w:sz w:val="32"/>
          <w:szCs w:val="32"/>
          <w:u w:val="none"/>
          <w:lang w:val="en-US" w:eastAsia="zh-CN" w:bidi="ar-SA"/>
        </w:rPr>
        <w:t>研究</w:t>
      </w:r>
    </w:p>
    <w:p w14:paraId="2CE1E8CF">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“两个结合”的科学内涵和实践要求研究</w:t>
      </w:r>
    </w:p>
    <w:p w14:paraId="0F9A2BDC">
      <w:pPr>
        <w:keepNext w:val="0"/>
        <w:keepLines w:val="0"/>
        <w:pageBreakBefore w:val="0"/>
        <w:widowControl w:val="0"/>
        <w:numPr>
          <w:ilvl w:val="0"/>
          <w:numId w:val="2"/>
        </w:numPr>
        <w:kinsoku/>
        <w:wordWrap/>
        <w:topLinePunct w:val="0"/>
        <w:bidi w:val="0"/>
        <w:adjustRightInd w:val="0"/>
        <w:spacing w:line="580" w:lineRule="exact"/>
        <w:ind w:firstLine="640" w:firstLineChars="200"/>
        <w:jc w:val="left"/>
        <w:textAlignment w:val="baseline"/>
        <w:rPr>
          <w:rFonts w:hint="eastAsia" w:ascii="黑体" w:hAnsi="黑体" w:eastAsia="黑体"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中国式现代化的时代背景、本质要求和世界意义研究</w:t>
      </w:r>
    </w:p>
    <w:p w14:paraId="2CDBE51E">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jc w:val="left"/>
        <w:textAlignment w:val="auto"/>
        <w:rPr>
          <w:rFonts w:hint="eastAsia" w:ascii="黑体" w:hAnsi="黑体" w:eastAsia="黑体" w:cs="Times New Roman"/>
          <w:color w:val="auto"/>
          <w:spacing w:val="0"/>
          <w:sz w:val="32"/>
          <w:szCs w:val="32"/>
          <w:u w:val="none"/>
          <w:lang w:eastAsia="zh-CN"/>
        </w:rPr>
      </w:pPr>
      <w:r>
        <w:rPr>
          <w:rFonts w:hint="eastAsia" w:ascii="黑体" w:hAnsi="黑体" w:eastAsia="黑体" w:cs="Times New Roman"/>
          <w:color w:val="auto"/>
          <w:spacing w:val="0"/>
          <w:sz w:val="32"/>
          <w:szCs w:val="32"/>
          <w:u w:val="none"/>
          <w:lang w:eastAsia="zh-CN"/>
        </w:rPr>
        <w:t>马列·科社</w:t>
      </w:r>
    </w:p>
    <w:p w14:paraId="4D598120">
      <w:pPr>
        <w:keepNext w:val="0"/>
        <w:keepLines w:val="0"/>
        <w:pageBreakBefore w:val="0"/>
        <w:widowControl w:val="0"/>
        <w:numPr>
          <w:ilvl w:val="0"/>
          <w:numId w:val="3"/>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新时代马克思主义理论话语体系建设研究</w:t>
      </w:r>
    </w:p>
    <w:p w14:paraId="5FFE0B61">
      <w:pPr>
        <w:keepNext w:val="0"/>
        <w:keepLines w:val="0"/>
        <w:pageBreakBefore w:val="0"/>
        <w:widowControl w:val="0"/>
        <w:numPr>
          <w:ilvl w:val="0"/>
          <w:numId w:val="3"/>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中华优秀传统文化与中国自主知识体系构建研究</w:t>
      </w:r>
    </w:p>
    <w:p w14:paraId="49DF0625">
      <w:pPr>
        <w:keepNext w:val="0"/>
        <w:keepLines w:val="0"/>
        <w:pageBreakBefore w:val="0"/>
        <w:widowControl w:val="0"/>
        <w:numPr>
          <w:ilvl w:val="0"/>
          <w:numId w:val="3"/>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爱国主义教育的哲学精神内核与时代传承路径研究</w:t>
      </w:r>
    </w:p>
    <w:p w14:paraId="6B4215D1">
      <w:pPr>
        <w:keepNext w:val="0"/>
        <w:keepLines w:val="0"/>
        <w:pageBreakBefore w:val="0"/>
        <w:widowControl w:val="0"/>
        <w:numPr>
          <w:ilvl w:val="0"/>
          <w:numId w:val="3"/>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分领域精准化常态化做好基层思想政治工作机制研究</w:t>
      </w:r>
    </w:p>
    <w:p w14:paraId="0A28E9AB">
      <w:pPr>
        <w:keepNext w:val="0"/>
        <w:keepLines w:val="0"/>
        <w:pageBreakBefore w:val="0"/>
        <w:widowControl w:val="0"/>
        <w:numPr>
          <w:ilvl w:val="0"/>
          <w:numId w:val="3"/>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网络主流价值传播创新与思想政治工作话语权建设研究</w:t>
      </w:r>
    </w:p>
    <w:p w14:paraId="609220A1">
      <w:pPr>
        <w:keepNext w:val="0"/>
        <w:keepLines w:val="0"/>
        <w:pageBreakBefore w:val="0"/>
        <w:widowControl w:val="0"/>
        <w:numPr>
          <w:ilvl w:val="0"/>
          <w:numId w:val="3"/>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军地协同视域下城市全民国防教育常态化长效化机制构建研究</w:t>
      </w:r>
    </w:p>
    <w:p w14:paraId="0D2FFF06">
      <w:pPr>
        <w:keepNext w:val="0"/>
        <w:keepLines w:val="0"/>
        <w:pageBreakBefore w:val="0"/>
        <w:widowControl w:val="0"/>
        <w:numPr>
          <w:ilvl w:val="0"/>
          <w:numId w:val="3"/>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构建“大宣传”工作格局的实践路径研究</w:t>
      </w:r>
    </w:p>
    <w:p w14:paraId="3208438C">
      <w:pPr>
        <w:keepNext w:val="0"/>
        <w:keepLines w:val="0"/>
        <w:pageBreakBefore w:val="0"/>
        <w:widowControl w:val="0"/>
        <w:numPr>
          <w:ilvl w:val="0"/>
          <w:numId w:val="3"/>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完善培育和践行社会主义核心价值观体制机制研究</w:t>
      </w:r>
    </w:p>
    <w:p w14:paraId="732DF7D7">
      <w:pPr>
        <w:keepNext w:val="0"/>
        <w:keepLines w:val="0"/>
        <w:pageBreakBefore w:val="0"/>
        <w:widowControl w:val="0"/>
        <w:numPr>
          <w:ilvl w:val="0"/>
          <w:numId w:val="3"/>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大中小学思政课一体化建设路径研究</w:t>
      </w:r>
    </w:p>
    <w:p w14:paraId="5E7D3759">
      <w:pPr>
        <w:keepNext w:val="0"/>
        <w:keepLines w:val="0"/>
        <w:pageBreakBefore w:val="0"/>
        <w:widowControl w:val="0"/>
        <w:numPr>
          <w:ilvl w:val="0"/>
          <w:numId w:val="3"/>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意识形态领域有关思潮和群体趋向研究</w:t>
      </w:r>
    </w:p>
    <w:p w14:paraId="2D8546BB">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jc w:val="left"/>
        <w:textAlignment w:val="auto"/>
        <w:rPr>
          <w:rFonts w:hint="eastAsia" w:ascii="黑体" w:hAnsi="黑体" w:eastAsia="黑体" w:cs="Times New Roman"/>
          <w:color w:val="auto"/>
          <w:spacing w:val="0"/>
          <w:sz w:val="32"/>
          <w:szCs w:val="32"/>
          <w:u w:val="none"/>
          <w:lang w:eastAsia="zh-CN"/>
        </w:rPr>
      </w:pPr>
      <w:r>
        <w:rPr>
          <w:rFonts w:hint="eastAsia" w:ascii="黑体" w:hAnsi="黑体" w:eastAsia="黑体" w:cs="Times New Roman"/>
          <w:color w:val="auto"/>
          <w:spacing w:val="0"/>
          <w:sz w:val="32"/>
          <w:szCs w:val="32"/>
          <w:u w:val="none"/>
          <w:lang w:eastAsia="zh-CN"/>
        </w:rPr>
        <w:t>党史·党建</w:t>
      </w:r>
    </w:p>
    <w:p w14:paraId="6CA8DFE9">
      <w:pPr>
        <w:keepNext w:val="0"/>
        <w:keepLines w:val="0"/>
        <w:pageBreakBefore w:val="0"/>
        <w:widowControl w:val="0"/>
        <w:numPr>
          <w:ilvl w:val="0"/>
          <w:numId w:val="4"/>
        </w:numPr>
        <w:kinsoku/>
        <w:wordWrap/>
        <w:overflowPunct/>
        <w:topLinePunct w:val="0"/>
        <w:autoSpaceDE/>
        <w:autoSpaceDN/>
        <w:bidi w:val="0"/>
        <w:adjustRightInd/>
        <w:snapToGrid/>
        <w:spacing w:line="580" w:lineRule="exact"/>
        <w:ind w:left="640" w:leftChars="0" w:firstLine="0" w:firstLineChars="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新时代党的建设理论与实践创新研究</w:t>
      </w:r>
    </w:p>
    <w:p w14:paraId="0D8C0680">
      <w:pPr>
        <w:keepNext w:val="0"/>
        <w:keepLines w:val="0"/>
        <w:pageBreakBefore w:val="0"/>
        <w:widowControl w:val="0"/>
        <w:numPr>
          <w:ilvl w:val="0"/>
          <w:numId w:val="4"/>
        </w:numPr>
        <w:kinsoku/>
        <w:wordWrap/>
        <w:overflowPunct/>
        <w:topLinePunct w:val="0"/>
        <w:autoSpaceDE/>
        <w:autoSpaceDN/>
        <w:bidi w:val="0"/>
        <w:adjustRightInd/>
        <w:snapToGrid/>
        <w:spacing w:line="580" w:lineRule="exact"/>
        <w:ind w:left="640" w:leftChars="0" w:firstLine="0" w:firstLineChars="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中国共产党文明观研究</w:t>
      </w:r>
    </w:p>
    <w:p w14:paraId="3C16472F">
      <w:pPr>
        <w:keepNext w:val="0"/>
        <w:keepLines w:val="0"/>
        <w:pageBreakBefore w:val="0"/>
        <w:widowControl w:val="0"/>
        <w:numPr>
          <w:ilvl w:val="0"/>
          <w:numId w:val="4"/>
        </w:numPr>
        <w:kinsoku/>
        <w:wordWrap/>
        <w:overflowPunct/>
        <w:topLinePunct w:val="0"/>
        <w:autoSpaceDE/>
        <w:autoSpaceDN/>
        <w:bidi w:val="0"/>
        <w:adjustRightInd/>
        <w:snapToGrid/>
        <w:spacing w:line="580" w:lineRule="exact"/>
        <w:ind w:left="640" w:leftChars="0" w:firstLine="0" w:firstLineChars="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新兴领域党建前沿问题研究</w:t>
      </w:r>
    </w:p>
    <w:p w14:paraId="3CC0E950">
      <w:pPr>
        <w:keepNext w:val="0"/>
        <w:keepLines w:val="0"/>
        <w:pageBreakBefore w:val="0"/>
        <w:widowControl w:val="0"/>
        <w:numPr>
          <w:ilvl w:val="0"/>
          <w:numId w:val="4"/>
        </w:numPr>
        <w:kinsoku/>
        <w:wordWrap/>
        <w:overflowPunct/>
        <w:topLinePunct w:val="0"/>
        <w:autoSpaceDE/>
        <w:autoSpaceDN/>
        <w:bidi w:val="0"/>
        <w:adjustRightInd/>
        <w:snapToGrid/>
        <w:spacing w:line="580" w:lineRule="exact"/>
        <w:ind w:left="640" w:leftChars="0" w:firstLine="0" w:firstLineChars="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济南共产党早期组织创建史及其历史地位研究</w:t>
      </w:r>
    </w:p>
    <w:p w14:paraId="72BF3CB5">
      <w:pPr>
        <w:keepNext w:val="0"/>
        <w:keepLines w:val="0"/>
        <w:pageBreakBefore w:val="0"/>
        <w:widowControl w:val="0"/>
        <w:numPr>
          <w:ilvl w:val="0"/>
          <w:numId w:val="4"/>
        </w:numPr>
        <w:kinsoku/>
        <w:wordWrap/>
        <w:overflowPunct/>
        <w:topLinePunct w:val="0"/>
        <w:autoSpaceDE/>
        <w:autoSpaceDN/>
        <w:bidi w:val="0"/>
        <w:adjustRightInd/>
        <w:snapToGrid/>
        <w:spacing w:line="580" w:lineRule="exact"/>
        <w:ind w:left="640" w:leftChars="0" w:firstLine="0" w:firstLineChars="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济南加强新时代廉洁文化建设研究</w:t>
      </w:r>
    </w:p>
    <w:p w14:paraId="54BDD70D">
      <w:pPr>
        <w:keepNext w:val="0"/>
        <w:keepLines w:val="0"/>
        <w:pageBreakBefore w:val="0"/>
        <w:widowControl w:val="0"/>
        <w:numPr>
          <w:ilvl w:val="0"/>
          <w:numId w:val="4"/>
        </w:numPr>
        <w:kinsoku/>
        <w:wordWrap/>
        <w:overflowPunct/>
        <w:topLinePunct w:val="0"/>
        <w:autoSpaceDE/>
        <w:autoSpaceDN/>
        <w:bidi w:val="0"/>
        <w:adjustRightInd/>
        <w:snapToGrid/>
        <w:spacing w:line="580" w:lineRule="exact"/>
        <w:ind w:left="640" w:leftChars="0" w:firstLine="0" w:firstLineChars="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高水平建设清廉泉城策略与路径研究</w:t>
      </w:r>
    </w:p>
    <w:p w14:paraId="351A4FE7">
      <w:pPr>
        <w:keepNext w:val="0"/>
        <w:keepLines w:val="0"/>
        <w:pageBreakBefore w:val="0"/>
        <w:widowControl w:val="0"/>
        <w:numPr>
          <w:ilvl w:val="0"/>
          <w:numId w:val="4"/>
        </w:numPr>
        <w:kinsoku/>
        <w:wordWrap/>
        <w:overflowPunct/>
        <w:topLinePunct w:val="0"/>
        <w:autoSpaceDE/>
        <w:autoSpaceDN/>
        <w:bidi w:val="0"/>
        <w:adjustRightInd/>
        <w:snapToGrid/>
        <w:spacing w:line="580" w:lineRule="exact"/>
        <w:ind w:left="640" w:leftChars="0" w:firstLine="0" w:firstLineChars="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济南乡村振兴中基层党组织建设研究</w:t>
      </w:r>
    </w:p>
    <w:p w14:paraId="4CA7FDC7">
      <w:pPr>
        <w:keepNext w:val="0"/>
        <w:keepLines w:val="0"/>
        <w:pageBreakBefore w:val="0"/>
        <w:widowControl w:val="0"/>
        <w:numPr>
          <w:ilvl w:val="0"/>
          <w:numId w:val="4"/>
        </w:numPr>
        <w:kinsoku/>
        <w:wordWrap/>
        <w:overflowPunct/>
        <w:topLinePunct w:val="0"/>
        <w:autoSpaceDE/>
        <w:autoSpaceDN/>
        <w:bidi w:val="0"/>
        <w:adjustRightInd/>
        <w:snapToGrid/>
        <w:spacing w:line="580" w:lineRule="exact"/>
        <w:ind w:left="640" w:leftChars="0" w:firstLine="0" w:firstLineChars="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全面增强干部现代化建设能力研究</w:t>
      </w:r>
    </w:p>
    <w:p w14:paraId="0C1BEE8F">
      <w:pPr>
        <w:keepNext w:val="0"/>
        <w:keepLines w:val="0"/>
        <w:pageBreakBefore w:val="0"/>
        <w:widowControl w:val="0"/>
        <w:numPr>
          <w:ilvl w:val="0"/>
          <w:numId w:val="4"/>
        </w:numPr>
        <w:kinsoku/>
        <w:wordWrap/>
        <w:overflowPunct/>
        <w:topLinePunct w:val="0"/>
        <w:autoSpaceDE/>
        <w:autoSpaceDN/>
        <w:bidi w:val="0"/>
        <w:adjustRightInd/>
        <w:snapToGrid/>
        <w:spacing w:line="580" w:lineRule="exact"/>
        <w:ind w:left="640" w:leftChars="0" w:firstLine="0" w:firstLineChars="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推动新时代工运事业和工会工作创新发展路径研究</w:t>
      </w:r>
    </w:p>
    <w:p w14:paraId="6C614CAD">
      <w:pPr>
        <w:keepNext w:val="0"/>
        <w:keepLines w:val="0"/>
        <w:pageBreakBefore w:val="0"/>
        <w:widowControl w:val="0"/>
        <w:numPr>
          <w:ilvl w:val="0"/>
          <w:numId w:val="4"/>
        </w:numPr>
        <w:kinsoku/>
        <w:wordWrap/>
        <w:overflowPunct/>
        <w:topLinePunct w:val="0"/>
        <w:autoSpaceDE/>
        <w:autoSpaceDN/>
        <w:bidi w:val="0"/>
        <w:adjustRightInd/>
        <w:snapToGrid/>
        <w:spacing w:line="580" w:lineRule="exact"/>
        <w:ind w:left="640" w:leftChars="0" w:firstLine="0" w:firstLineChars="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沂蒙精神与红色文化研究</w:t>
      </w:r>
    </w:p>
    <w:p w14:paraId="149105D5">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Times New Roman"/>
          <w:color w:val="auto"/>
          <w:spacing w:val="0"/>
          <w:sz w:val="32"/>
          <w:szCs w:val="32"/>
          <w:u w:val="none"/>
          <w:lang w:eastAsia="zh-CN"/>
        </w:rPr>
      </w:pPr>
      <w:r>
        <w:rPr>
          <w:rFonts w:hint="eastAsia" w:ascii="黑体" w:hAnsi="黑体" w:eastAsia="黑体" w:cs="Times New Roman"/>
          <w:color w:val="auto"/>
          <w:spacing w:val="0"/>
          <w:sz w:val="32"/>
          <w:szCs w:val="32"/>
          <w:u w:val="none"/>
          <w:lang w:eastAsia="zh-CN"/>
        </w:rPr>
        <w:t>哲学·政治学</w:t>
      </w:r>
    </w:p>
    <w:p w14:paraId="7B973D00">
      <w:pPr>
        <w:keepNext w:val="0"/>
        <w:keepLines w:val="0"/>
        <w:pageBreakBefore w:val="0"/>
        <w:widowControl w:val="0"/>
        <w:numPr>
          <w:ilvl w:val="0"/>
          <w:numId w:val="5"/>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马克思主义哲学的当代价值研究</w:t>
      </w:r>
    </w:p>
    <w:p w14:paraId="72B14BD4">
      <w:pPr>
        <w:keepNext w:val="0"/>
        <w:keepLines w:val="0"/>
        <w:pageBreakBefore w:val="0"/>
        <w:widowControl w:val="0"/>
        <w:numPr>
          <w:ilvl w:val="0"/>
          <w:numId w:val="5"/>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新时代人文经济学的历史唯物主义研究</w:t>
      </w:r>
    </w:p>
    <w:p w14:paraId="74E9C962">
      <w:pPr>
        <w:keepNext w:val="0"/>
        <w:keepLines w:val="0"/>
        <w:pageBreakBefore w:val="0"/>
        <w:widowControl w:val="0"/>
        <w:numPr>
          <w:ilvl w:val="0"/>
          <w:numId w:val="5"/>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正确政绩观的哲学基础、内在逻辑与实践路径研究</w:t>
      </w:r>
    </w:p>
    <w:p w14:paraId="2B1DACAF">
      <w:pPr>
        <w:keepNext w:val="0"/>
        <w:keepLines w:val="0"/>
        <w:pageBreakBefore w:val="0"/>
        <w:widowControl w:val="0"/>
        <w:numPr>
          <w:ilvl w:val="0"/>
          <w:numId w:val="5"/>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铸牢中华民族共同体意识研究</w:t>
      </w:r>
    </w:p>
    <w:p w14:paraId="5104EC12">
      <w:pPr>
        <w:keepNext w:val="0"/>
        <w:keepLines w:val="0"/>
        <w:pageBreakBefore w:val="0"/>
        <w:widowControl w:val="0"/>
        <w:numPr>
          <w:ilvl w:val="0"/>
          <w:numId w:val="5"/>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数智时代意识形态领域风险问题研究</w:t>
      </w:r>
    </w:p>
    <w:p w14:paraId="35DE4F23">
      <w:pPr>
        <w:keepNext w:val="0"/>
        <w:keepLines w:val="0"/>
        <w:pageBreakBefore w:val="0"/>
        <w:widowControl w:val="0"/>
        <w:numPr>
          <w:ilvl w:val="0"/>
          <w:numId w:val="5"/>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全过程人民民主理论与实践研究</w:t>
      </w:r>
    </w:p>
    <w:p w14:paraId="53FA5907">
      <w:pPr>
        <w:keepNext w:val="0"/>
        <w:keepLines w:val="0"/>
        <w:pageBreakBefore w:val="0"/>
        <w:widowControl w:val="0"/>
        <w:numPr>
          <w:ilvl w:val="0"/>
          <w:numId w:val="5"/>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协商民主融入城市基层治理的实践路径研究</w:t>
      </w:r>
    </w:p>
    <w:p w14:paraId="6E16A546">
      <w:pPr>
        <w:keepNext w:val="0"/>
        <w:keepLines w:val="0"/>
        <w:pageBreakBefore w:val="0"/>
        <w:widowControl w:val="0"/>
        <w:numPr>
          <w:ilvl w:val="0"/>
          <w:numId w:val="5"/>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新时代发挥统一战线凝聚人心、汇聚力量政治作用研究</w:t>
      </w:r>
    </w:p>
    <w:p w14:paraId="770C713E">
      <w:pPr>
        <w:keepNext w:val="0"/>
        <w:keepLines w:val="0"/>
        <w:pageBreakBefore w:val="0"/>
        <w:widowControl w:val="0"/>
        <w:numPr>
          <w:ilvl w:val="0"/>
          <w:numId w:val="5"/>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人工智能赋能基层社会治理的风险审视和应对策略研究</w:t>
      </w:r>
    </w:p>
    <w:p w14:paraId="6AB66AAC">
      <w:pPr>
        <w:keepNext w:val="0"/>
        <w:keepLines w:val="0"/>
        <w:pageBreakBefore w:val="0"/>
        <w:widowControl w:val="0"/>
        <w:numPr>
          <w:ilvl w:val="0"/>
          <w:numId w:val="5"/>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提升乡村治理与文明乡风建设水平研究</w:t>
      </w:r>
    </w:p>
    <w:p w14:paraId="264513DA">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Times New Roman"/>
          <w:color w:val="auto"/>
          <w:spacing w:val="0"/>
          <w:sz w:val="32"/>
          <w:szCs w:val="32"/>
          <w:u w:val="none"/>
          <w:lang w:eastAsia="zh-CN"/>
        </w:rPr>
      </w:pPr>
      <w:r>
        <w:rPr>
          <w:rFonts w:hint="eastAsia" w:ascii="黑体" w:hAnsi="黑体" w:eastAsia="黑体" w:cs="Times New Roman"/>
          <w:color w:val="auto"/>
          <w:spacing w:val="0"/>
          <w:sz w:val="32"/>
          <w:szCs w:val="32"/>
          <w:u w:val="none"/>
          <w:lang w:eastAsia="zh-CN"/>
        </w:rPr>
        <w:t>管理学</w:t>
      </w:r>
    </w:p>
    <w:p w14:paraId="0A539741">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济南打造北方地区经济重要增长极的支撑体系与实现路径研究</w:t>
      </w:r>
    </w:p>
    <w:p w14:paraId="169C22B1">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济南建设黄河流域重要中心城市路径研究</w:t>
      </w:r>
    </w:p>
    <w:p w14:paraId="48E1226D">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济南都市圈辐射引领力提升与区域协同赋能研究</w:t>
      </w:r>
    </w:p>
    <w:p w14:paraId="77A612A2">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城市更新赋能济南内涵式高质量发展的实践与路径研究</w:t>
      </w:r>
    </w:p>
    <w:p w14:paraId="4BD1FB53">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济南推进社会精准治理实践路径研究</w:t>
      </w:r>
    </w:p>
    <w:p w14:paraId="232B46D8">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济南服务和融入全国统一大市场的堵点破解与制度创新研究</w:t>
      </w:r>
    </w:p>
    <w:p w14:paraId="7BCD824A">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济南现代物流体系完善与高效流通格局构建研究</w:t>
      </w:r>
    </w:p>
    <w:p w14:paraId="21E8E7A3">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数智济南建设赋能城市高质量发展的机制和路径研究</w:t>
      </w:r>
    </w:p>
    <w:p w14:paraId="17136A58">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济南营商环境优化对策研究</w:t>
      </w:r>
    </w:p>
    <w:p w14:paraId="7ED0089D">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济南重大项目研判范式和谋划路径研究</w:t>
      </w:r>
    </w:p>
    <w:p w14:paraId="0A413B3B">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济南文商旅教体养深度融合发展策略与路径研究</w:t>
      </w:r>
    </w:p>
    <w:p w14:paraId="44D4C4BA">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济南培育消费新业态新模式新场景策略与路径研究</w:t>
      </w:r>
    </w:p>
    <w:p w14:paraId="1221FCE8">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w:t>
      </w:r>
      <w:r>
        <w:rPr>
          <w:rFonts w:hint="default" w:ascii="仿宋_GB2312" w:hAnsi="Calibri" w:eastAsia="仿宋_GB2312" w:cs="Times New Roman"/>
          <w:color w:val="auto"/>
          <w:spacing w:val="0"/>
          <w:kern w:val="2"/>
          <w:sz w:val="32"/>
          <w:szCs w:val="32"/>
          <w:u w:val="none"/>
          <w:lang w:val="en-US" w:eastAsia="zh-CN" w:bidi="ar-SA"/>
        </w:rPr>
        <w:t>城市更新标准体系构建与优化策略研究</w:t>
      </w:r>
    </w:p>
    <w:p w14:paraId="34D0BC94">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济南城市空间布局优化与资源要素高效配置机制研究</w:t>
      </w:r>
    </w:p>
    <w:p w14:paraId="2E198B57">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济南有效盘活存量资产的创新路径研究</w:t>
      </w:r>
    </w:p>
    <w:p w14:paraId="079773BB">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济南全生命周期人才服务体系构建与完善研究</w:t>
      </w:r>
    </w:p>
    <w:p w14:paraId="4A1062F0">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16" w:firstLineChars="200"/>
        <w:textAlignment w:val="auto"/>
        <w:rPr>
          <w:rFonts w:hint="default" w:ascii="仿宋_GB2312" w:hAnsi="Calibri" w:eastAsia="仿宋_GB2312" w:cs="Times New Roman"/>
          <w:color w:val="auto"/>
          <w:spacing w:val="-6"/>
          <w:kern w:val="2"/>
          <w:sz w:val="32"/>
          <w:szCs w:val="32"/>
          <w:u w:val="none"/>
          <w:lang w:val="en-US" w:eastAsia="zh-CN" w:bidi="ar-SA"/>
        </w:rPr>
      </w:pPr>
      <w:r>
        <w:rPr>
          <w:rFonts w:hint="eastAsia" w:ascii="仿宋_GB2312" w:hAnsi="Calibri" w:eastAsia="仿宋_GB2312" w:cs="Times New Roman"/>
          <w:color w:val="auto"/>
          <w:spacing w:val="-6"/>
          <w:kern w:val="2"/>
          <w:sz w:val="32"/>
          <w:szCs w:val="32"/>
          <w:u w:val="none"/>
          <w:lang w:val="en-US" w:eastAsia="zh-CN" w:bidi="ar-SA"/>
        </w:rPr>
        <w:t>国土空间规划引领济南强省会高质量发展的治理机制研究</w:t>
      </w:r>
    </w:p>
    <w:p w14:paraId="55056C81">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乡村振兴视域下济南农村集体建设用地盘活路径研究</w:t>
      </w:r>
    </w:p>
    <w:p w14:paraId="2E101F5A">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济南TOD综合开发模式创新与城市活力重塑研究</w:t>
      </w:r>
    </w:p>
    <w:p w14:paraId="61F33D9A">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济南“家边公园”多元共建共享机制研究</w:t>
      </w:r>
    </w:p>
    <w:p w14:paraId="20E47760">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城市存量空间优化视角下济南山体绿道文化资源活化路径研究</w:t>
      </w:r>
    </w:p>
    <w:p w14:paraId="235DA139">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供需平衡视角下济南市楼市发展及人房地钱要素联动调控研究</w:t>
      </w:r>
    </w:p>
    <w:p w14:paraId="1B42C1DA">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16" w:firstLineChars="200"/>
        <w:textAlignment w:val="auto"/>
        <w:rPr>
          <w:rFonts w:hint="default" w:ascii="仿宋_GB2312" w:hAnsi="Calibri" w:eastAsia="仿宋_GB2312" w:cs="Times New Roman"/>
          <w:color w:val="auto"/>
          <w:spacing w:val="-6"/>
          <w:kern w:val="2"/>
          <w:sz w:val="32"/>
          <w:szCs w:val="32"/>
          <w:u w:val="none"/>
          <w:lang w:val="en-US" w:eastAsia="zh-CN" w:bidi="ar-SA"/>
        </w:rPr>
      </w:pPr>
      <w:r>
        <w:rPr>
          <w:rFonts w:hint="eastAsia" w:ascii="仿宋_GB2312" w:hAnsi="Calibri" w:eastAsia="仿宋_GB2312" w:cs="Times New Roman"/>
          <w:color w:val="auto"/>
          <w:spacing w:val="-6"/>
          <w:kern w:val="2"/>
          <w:sz w:val="32"/>
          <w:szCs w:val="32"/>
          <w:u w:val="none"/>
          <w:lang w:val="en-US" w:eastAsia="zh-CN" w:bidi="ar-SA"/>
        </w:rPr>
        <w:t>济南市小微型客车租赁行业规范治理与转型升级路径研究</w:t>
      </w:r>
    </w:p>
    <w:p w14:paraId="580DFB2F">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数字转型视域下济南市档案信息化建设风险评估与防护机制研究</w:t>
      </w:r>
    </w:p>
    <w:p w14:paraId="51ECAD78">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产业动能加速迭代与区域竞争格局重构背景下济南市创新创业生态优化与效能提升研究</w:t>
      </w:r>
    </w:p>
    <w:p w14:paraId="1D0346AB">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Times New Roman"/>
          <w:color w:val="auto"/>
          <w:spacing w:val="0"/>
          <w:sz w:val="32"/>
          <w:szCs w:val="32"/>
          <w:u w:val="none"/>
          <w:lang w:eastAsia="zh-CN"/>
        </w:rPr>
      </w:pPr>
      <w:r>
        <w:rPr>
          <w:rFonts w:hint="eastAsia" w:ascii="黑体" w:hAnsi="黑体" w:eastAsia="黑体" w:cs="Times New Roman"/>
          <w:color w:val="auto"/>
          <w:spacing w:val="0"/>
          <w:sz w:val="32"/>
          <w:szCs w:val="32"/>
          <w:u w:val="none"/>
          <w:lang w:eastAsia="zh-CN"/>
        </w:rPr>
        <w:t>经济学</w:t>
      </w:r>
    </w:p>
    <w:p w14:paraId="59F0AA59">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人文经济学理论与实践问题研究</w:t>
      </w:r>
    </w:p>
    <w:p w14:paraId="6AB59E12">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济南打造“13+34”产业链体系、构建现代化产业新格局路径研究</w:t>
      </w:r>
    </w:p>
    <w:p w14:paraId="5CC2A427">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全球供应链重构下“四链融合”助推济南重点产业链高质量发展路径研究</w:t>
      </w:r>
    </w:p>
    <w:p w14:paraId="464FDB64">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济南因地制宜发展新质生产力研究</w:t>
      </w:r>
    </w:p>
    <w:p w14:paraId="6CF2A785">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济南区域性科技创新高地建设的对策与路径研究</w:t>
      </w:r>
    </w:p>
    <w:p w14:paraId="065519BA">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济南推动人工智能产业高质量发展研究</w:t>
      </w:r>
    </w:p>
    <w:p w14:paraId="16E51BB6">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济南推动未来产业发展的科技成果转化机制研究</w:t>
      </w:r>
    </w:p>
    <w:p w14:paraId="06C10992">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济南新兴产业培育壮大的动力机制与赋能路径研究</w:t>
      </w:r>
    </w:p>
    <w:p w14:paraId="19231423">
      <w:pPr>
        <w:keepNext w:val="0"/>
        <w:keepLines w:val="0"/>
        <w:pageBreakBefore w:val="0"/>
        <w:widowControl w:val="0"/>
        <w:numPr>
          <w:ilvl w:val="0"/>
          <w:numId w:val="7"/>
        </w:numPr>
        <w:kinsoku/>
        <w:wordWrap/>
        <w:topLinePunct w:val="0"/>
        <w:bidi w:val="0"/>
        <w:adjustRightInd w:val="0"/>
        <w:spacing w:line="580" w:lineRule="exact"/>
        <w:ind w:firstLine="616" w:firstLineChars="200"/>
        <w:jc w:val="left"/>
        <w:textAlignment w:val="baseline"/>
        <w:rPr>
          <w:rFonts w:hint="eastAsia" w:ascii="仿宋_GB2312" w:hAnsi="Calibri" w:eastAsia="仿宋_GB2312" w:cs="Times New Roman"/>
          <w:color w:val="auto"/>
          <w:spacing w:val="-6"/>
          <w:kern w:val="2"/>
          <w:sz w:val="32"/>
          <w:szCs w:val="32"/>
          <w:u w:val="none"/>
          <w:lang w:val="en-US" w:eastAsia="zh-CN" w:bidi="ar-SA"/>
        </w:rPr>
      </w:pPr>
      <w:r>
        <w:rPr>
          <w:rFonts w:hint="eastAsia" w:ascii="仿宋_GB2312" w:hAnsi="Calibri" w:eastAsia="仿宋_GB2312" w:cs="Times New Roman"/>
          <w:color w:val="auto"/>
          <w:spacing w:val="-6"/>
          <w:kern w:val="2"/>
          <w:sz w:val="32"/>
          <w:szCs w:val="32"/>
          <w:u w:val="none"/>
          <w:lang w:val="en-US" w:eastAsia="zh-CN" w:bidi="ar-SA"/>
        </w:rPr>
        <w:t>强省会建设背景下推动济南实体经济高质量发展路径研究</w:t>
      </w:r>
    </w:p>
    <w:p w14:paraId="6C2C0DD0">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内需扩容提质赋能济南经济稳定增长的实现机制研究</w:t>
      </w:r>
    </w:p>
    <w:p w14:paraId="0538F7FA">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济南推动县域经济高质量发展路径研究</w:t>
      </w:r>
    </w:p>
    <w:p w14:paraId="41B6B5D9">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济南推动低空经济发展路径研究</w:t>
      </w:r>
    </w:p>
    <w:p w14:paraId="0CF1103F">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绿色低碳转型背景下济南传统优势产业改造升级研究</w:t>
      </w:r>
    </w:p>
    <w:p w14:paraId="6121D02E">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济南推动新能源产业发展路径研究</w:t>
      </w:r>
    </w:p>
    <w:p w14:paraId="097864D8">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济南加快氢能产业发展的路径创新与政策优化研究</w:t>
      </w:r>
    </w:p>
    <w:p w14:paraId="5902E1EB">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促进济南数据产业高质量发展路径研究</w:t>
      </w:r>
    </w:p>
    <w:p w14:paraId="3ABD8DC1">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济南加快发展数字文化产业路径研究</w:t>
      </w:r>
    </w:p>
    <w:p w14:paraId="40A20E15">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济南打造智能经济新形态的策略与路径研究</w:t>
      </w:r>
    </w:p>
    <w:p w14:paraId="26072AFA">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加快布局概念验证中心建设提升济南科技成果转化效能对策研究</w:t>
      </w:r>
    </w:p>
    <w:p w14:paraId="7920C0DB">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济南生产性服务业扩能提质机制与实施路径研究</w:t>
      </w:r>
    </w:p>
    <w:p w14:paraId="7B5D0A50">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济南脑机接口产业创新创业协同生态体建设研究</w:t>
      </w:r>
    </w:p>
    <w:p w14:paraId="58B2C036">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链主企业引领济南产业链融通发展研究</w:t>
      </w:r>
    </w:p>
    <w:p w14:paraId="45E46870">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济南宠物经济高质量发展路径研究</w:t>
      </w:r>
    </w:p>
    <w:p w14:paraId="6F27BA7F">
      <w:pPr>
        <w:keepNext w:val="0"/>
        <w:keepLines w:val="0"/>
        <w:pageBreakBefore w:val="0"/>
        <w:widowControl w:val="0"/>
        <w:numPr>
          <w:ilvl w:val="0"/>
          <w:numId w:val="7"/>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济南老字号文化与文旅品牌深度融合发展的路径研究</w:t>
      </w:r>
    </w:p>
    <w:p w14:paraId="50332086">
      <w:pPr>
        <w:keepNext w:val="0"/>
        <w:keepLines w:val="0"/>
        <w:pageBreakBefore w:val="0"/>
        <w:widowControl w:val="0"/>
        <w:numPr>
          <w:ilvl w:val="0"/>
          <w:numId w:val="7"/>
        </w:numPr>
        <w:kinsoku/>
        <w:wordWrap/>
        <w:overflowPunct/>
        <w:topLinePunct w:val="0"/>
        <w:autoSpaceDE/>
        <w:autoSpaceDN/>
        <w:bidi w:val="0"/>
        <w:adjustRightInd w:val="0"/>
        <w:snapToGrid/>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济南培育乡村富民主导产业，健全特色富民产业发展体系研究</w:t>
      </w:r>
    </w:p>
    <w:p w14:paraId="1236A4C6">
      <w:pPr>
        <w:keepNext w:val="0"/>
        <w:keepLines w:val="0"/>
        <w:pageBreakBefore w:val="0"/>
        <w:widowControl w:val="0"/>
        <w:numPr>
          <w:ilvl w:val="0"/>
          <w:numId w:val="7"/>
        </w:numPr>
        <w:kinsoku/>
        <w:wordWrap/>
        <w:overflowPunct/>
        <w:topLinePunct w:val="0"/>
        <w:autoSpaceDE/>
        <w:autoSpaceDN/>
        <w:bidi w:val="0"/>
        <w:adjustRightInd w:val="0"/>
        <w:snapToGrid/>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济南文创产业高质量发展研究</w:t>
      </w:r>
    </w:p>
    <w:p w14:paraId="2E2CBDEF">
      <w:pPr>
        <w:keepNext w:val="0"/>
        <w:keepLines w:val="0"/>
        <w:pageBreakBefore w:val="0"/>
        <w:widowControl w:val="0"/>
        <w:numPr>
          <w:ilvl w:val="0"/>
          <w:numId w:val="7"/>
        </w:numPr>
        <w:kinsoku/>
        <w:wordWrap/>
        <w:overflowPunct/>
        <w:topLinePunct w:val="0"/>
        <w:autoSpaceDE/>
        <w:autoSpaceDN/>
        <w:bidi w:val="0"/>
        <w:adjustRightInd w:val="0"/>
        <w:snapToGrid/>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推动济南版权资产数字化交易研究</w:t>
      </w:r>
    </w:p>
    <w:p w14:paraId="695A6CC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Times New Roman"/>
          <w:color w:val="auto"/>
          <w:spacing w:val="0"/>
          <w:sz w:val="32"/>
          <w:szCs w:val="32"/>
          <w:u w:val="none"/>
          <w:lang w:eastAsia="zh-CN"/>
        </w:rPr>
      </w:pPr>
      <w:r>
        <w:rPr>
          <w:rFonts w:hint="eastAsia" w:ascii="黑体" w:hAnsi="黑体" w:eastAsia="黑体" w:cs="Times New Roman"/>
          <w:color w:val="auto"/>
          <w:spacing w:val="0"/>
          <w:sz w:val="32"/>
          <w:szCs w:val="32"/>
          <w:u w:val="none"/>
          <w:lang w:eastAsia="zh-CN"/>
        </w:rPr>
        <w:t>法学·社会学</w:t>
      </w:r>
    </w:p>
    <w:p w14:paraId="69510DFB">
      <w:pPr>
        <w:keepNext w:val="0"/>
        <w:keepLines w:val="0"/>
        <w:pageBreakBefore w:val="0"/>
        <w:widowControl w:val="0"/>
        <w:numPr>
          <w:ilvl w:val="0"/>
          <w:numId w:val="8"/>
        </w:numPr>
        <w:kinsoku/>
        <w:wordWrap/>
        <w:overflowPunct/>
        <w:topLinePunct w:val="0"/>
        <w:autoSpaceDE/>
        <w:autoSpaceDN/>
        <w:bidi w:val="0"/>
        <w:adjustRightInd w:val="0"/>
        <w:snapToGrid/>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地方高质量立法赋能济南高质量发展研究</w:t>
      </w:r>
    </w:p>
    <w:p w14:paraId="7212803E">
      <w:pPr>
        <w:keepNext w:val="0"/>
        <w:keepLines w:val="0"/>
        <w:pageBreakBefore w:val="0"/>
        <w:widowControl w:val="0"/>
        <w:numPr>
          <w:ilvl w:val="0"/>
          <w:numId w:val="8"/>
        </w:numPr>
        <w:kinsoku/>
        <w:wordWrap/>
        <w:overflowPunct/>
        <w:topLinePunct w:val="0"/>
        <w:autoSpaceDE/>
        <w:autoSpaceDN/>
        <w:bidi w:val="0"/>
        <w:adjustRightInd w:val="0"/>
        <w:snapToGrid/>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全过程人民民主视域下基层立法联系点机制创新研究</w:t>
      </w:r>
    </w:p>
    <w:p w14:paraId="5DA00F34">
      <w:pPr>
        <w:keepNext w:val="0"/>
        <w:keepLines w:val="0"/>
        <w:pageBreakBefore w:val="0"/>
        <w:widowControl w:val="0"/>
        <w:numPr>
          <w:ilvl w:val="0"/>
          <w:numId w:val="8"/>
        </w:numPr>
        <w:kinsoku/>
        <w:wordWrap/>
        <w:overflowPunct/>
        <w:topLinePunct w:val="0"/>
        <w:autoSpaceDE/>
        <w:autoSpaceDN/>
        <w:bidi w:val="0"/>
        <w:adjustRightInd w:val="0"/>
        <w:snapToGrid/>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新形势下涉外法治理论与实践研究</w:t>
      </w:r>
    </w:p>
    <w:p w14:paraId="518F7896">
      <w:pPr>
        <w:keepNext w:val="0"/>
        <w:keepLines w:val="0"/>
        <w:pageBreakBefore w:val="0"/>
        <w:widowControl w:val="0"/>
        <w:numPr>
          <w:ilvl w:val="0"/>
          <w:numId w:val="8"/>
        </w:numPr>
        <w:kinsoku/>
        <w:wordWrap/>
        <w:overflowPunct/>
        <w:topLinePunct w:val="0"/>
        <w:autoSpaceDE/>
        <w:autoSpaceDN/>
        <w:bidi w:val="0"/>
        <w:adjustRightInd w:val="0"/>
        <w:snapToGrid/>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default" w:ascii="仿宋_GB2312" w:hAnsi="Calibri" w:eastAsia="仿宋_GB2312" w:cs="Times New Roman"/>
          <w:color w:val="auto"/>
          <w:spacing w:val="0"/>
          <w:kern w:val="2"/>
          <w:sz w:val="32"/>
          <w:szCs w:val="32"/>
          <w:u w:val="none"/>
          <w:lang w:val="en-US" w:eastAsia="zh-CN" w:bidi="ar-SA"/>
        </w:rPr>
        <w:t>新就业形态劳动者权益保障路径研究</w:t>
      </w:r>
    </w:p>
    <w:p w14:paraId="460F3FEC">
      <w:pPr>
        <w:keepNext w:val="0"/>
        <w:keepLines w:val="0"/>
        <w:pageBreakBefore w:val="0"/>
        <w:widowControl w:val="0"/>
        <w:numPr>
          <w:ilvl w:val="0"/>
          <w:numId w:val="8"/>
        </w:numPr>
        <w:kinsoku/>
        <w:wordWrap/>
        <w:overflowPunct/>
        <w:topLinePunct w:val="0"/>
        <w:autoSpaceDE/>
        <w:autoSpaceDN/>
        <w:bidi w:val="0"/>
        <w:adjustRightInd w:val="0"/>
        <w:snapToGrid/>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构建政府采购行政裁决标准化体系研究</w:t>
      </w:r>
    </w:p>
    <w:p w14:paraId="569929B8">
      <w:pPr>
        <w:keepNext w:val="0"/>
        <w:keepLines w:val="0"/>
        <w:pageBreakBefore w:val="0"/>
        <w:widowControl w:val="0"/>
        <w:numPr>
          <w:ilvl w:val="0"/>
          <w:numId w:val="8"/>
        </w:numPr>
        <w:kinsoku/>
        <w:wordWrap/>
        <w:overflowPunct/>
        <w:topLinePunct w:val="0"/>
        <w:autoSpaceDE/>
        <w:autoSpaceDN/>
        <w:bidi w:val="0"/>
        <w:adjustRightInd w:val="0"/>
        <w:snapToGrid/>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生成式人工智能</w:t>
      </w:r>
      <w:r>
        <w:rPr>
          <w:rFonts w:hint="eastAsia" w:ascii="仿宋_GB2312" w:hAnsi="仿宋_GB2312" w:eastAsia="仿宋_GB2312" w:cs="仿宋_GB2312"/>
          <w:color w:val="auto"/>
          <w:kern w:val="2"/>
          <w:sz w:val="32"/>
          <w:szCs w:val="32"/>
          <w:u w:val="none"/>
          <w:lang w:val="en-US" w:eastAsia="zh-CN" w:bidi="ar-SA"/>
        </w:rPr>
        <w:t>大模型引发的潜在风险与应对研究</w:t>
      </w:r>
    </w:p>
    <w:p w14:paraId="2E1392E1">
      <w:pPr>
        <w:keepNext w:val="0"/>
        <w:keepLines w:val="0"/>
        <w:pageBreakBefore w:val="0"/>
        <w:widowControl w:val="0"/>
        <w:numPr>
          <w:ilvl w:val="0"/>
          <w:numId w:val="8"/>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default" w:ascii="仿宋_GB2312" w:hAnsi="Calibri" w:eastAsia="仿宋_GB2312" w:cs="Times New Roman"/>
          <w:color w:val="auto"/>
          <w:spacing w:val="0"/>
          <w:kern w:val="2"/>
          <w:sz w:val="32"/>
          <w:szCs w:val="32"/>
          <w:u w:val="none"/>
          <w:lang w:val="en-US" w:eastAsia="zh-CN" w:bidi="ar-SA"/>
        </w:rPr>
        <w:t>医养结合背景下长期护理保险制度路径研究</w:t>
      </w:r>
    </w:p>
    <w:p w14:paraId="473AB910">
      <w:pPr>
        <w:keepNext w:val="0"/>
        <w:keepLines w:val="0"/>
        <w:pageBreakBefore w:val="0"/>
        <w:widowControl w:val="0"/>
        <w:numPr>
          <w:ilvl w:val="0"/>
          <w:numId w:val="8"/>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济南市加快建设全龄友好城市对策研究</w:t>
      </w:r>
    </w:p>
    <w:p w14:paraId="6A111F71">
      <w:pPr>
        <w:keepNext w:val="0"/>
        <w:keepLines w:val="0"/>
        <w:pageBreakBefore w:val="0"/>
        <w:widowControl w:val="0"/>
        <w:numPr>
          <w:ilvl w:val="0"/>
          <w:numId w:val="8"/>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强省会建设背景下</w:t>
      </w:r>
      <w:r>
        <w:rPr>
          <w:rFonts w:hint="eastAsia" w:ascii="仿宋_GB2312" w:hAnsi="仿宋_GB2312" w:eastAsia="仿宋_GB2312" w:cs="仿宋_GB2312"/>
          <w:color w:val="auto"/>
          <w:kern w:val="2"/>
          <w:sz w:val="32"/>
          <w:szCs w:val="32"/>
          <w:u w:val="none"/>
          <w:lang w:val="en-US" w:eastAsia="zh-CN" w:bidi="ar-SA"/>
        </w:rPr>
        <w:t>济南市高校青年人才集聚与高质量就业促进机制研究</w:t>
      </w:r>
    </w:p>
    <w:p w14:paraId="024C28F0">
      <w:pPr>
        <w:keepNext w:val="0"/>
        <w:keepLines w:val="0"/>
        <w:pageBreakBefore w:val="0"/>
        <w:widowControl w:val="0"/>
        <w:numPr>
          <w:ilvl w:val="0"/>
          <w:numId w:val="8"/>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济南公共文化服务提质增效的实践路径研究</w:t>
      </w:r>
    </w:p>
    <w:p w14:paraId="1DB55324">
      <w:pPr>
        <w:keepNext w:val="0"/>
        <w:keepLines w:val="0"/>
        <w:pageBreakBefore w:val="0"/>
        <w:widowControl w:val="0"/>
        <w:numPr>
          <w:ilvl w:val="0"/>
          <w:numId w:val="8"/>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济南市县域人口老龄化与养老资源配置的空间匹配及优化研究</w:t>
      </w:r>
    </w:p>
    <w:p w14:paraId="2CD1EFB5">
      <w:pPr>
        <w:keepNext w:val="0"/>
        <w:keepLines w:val="0"/>
        <w:pageBreakBefore w:val="0"/>
        <w:widowControl w:val="0"/>
        <w:numPr>
          <w:ilvl w:val="0"/>
          <w:numId w:val="8"/>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人工智能赋能济南高技能人才精准培养模式创新研究</w:t>
      </w:r>
    </w:p>
    <w:p w14:paraId="07F09AE3">
      <w:pPr>
        <w:keepNext w:val="0"/>
        <w:keepLines w:val="0"/>
        <w:pageBreakBefore w:val="0"/>
        <w:widowControl w:val="0"/>
        <w:numPr>
          <w:ilvl w:val="0"/>
          <w:numId w:val="8"/>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积极发展碳金融助力济南“双碳”目标实现的路径研究</w:t>
      </w:r>
    </w:p>
    <w:p w14:paraId="4E3EADE5">
      <w:pPr>
        <w:keepNext w:val="0"/>
        <w:keepLines w:val="0"/>
        <w:pageBreakBefore w:val="0"/>
        <w:widowControl w:val="0"/>
        <w:numPr>
          <w:ilvl w:val="0"/>
          <w:numId w:val="8"/>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济南推动数智化赋能城市文明建设研究</w:t>
      </w:r>
    </w:p>
    <w:p w14:paraId="76B9D6E6">
      <w:pPr>
        <w:keepNext w:val="0"/>
        <w:keepLines w:val="0"/>
        <w:pageBreakBefore w:val="0"/>
        <w:widowControl w:val="0"/>
        <w:numPr>
          <w:ilvl w:val="0"/>
          <w:numId w:val="8"/>
        </w:numPr>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济南推动全民阅读高质量发展研究</w:t>
      </w:r>
    </w:p>
    <w:p w14:paraId="27D66720">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Times New Roman"/>
          <w:color w:val="auto"/>
          <w:spacing w:val="0"/>
          <w:sz w:val="32"/>
          <w:szCs w:val="32"/>
          <w:u w:val="none"/>
          <w:lang w:eastAsia="zh-CN"/>
        </w:rPr>
      </w:pPr>
      <w:r>
        <w:rPr>
          <w:rFonts w:hint="eastAsia" w:ascii="黑体" w:hAnsi="黑体" w:eastAsia="黑体" w:cs="Times New Roman"/>
          <w:color w:val="auto"/>
          <w:spacing w:val="0"/>
          <w:sz w:val="32"/>
          <w:szCs w:val="32"/>
          <w:u w:val="none"/>
          <w:lang w:eastAsia="zh-CN"/>
        </w:rPr>
        <w:t>文学·艺术学</w:t>
      </w:r>
    </w:p>
    <w:p w14:paraId="3F32E6E5">
      <w:pPr>
        <w:keepNext w:val="0"/>
        <w:keepLines w:val="0"/>
        <w:pageBreakBefore w:val="0"/>
        <w:widowControl w:val="0"/>
        <w:numPr>
          <w:ilvl w:val="0"/>
          <w:numId w:val="9"/>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pacing w:val="0"/>
          <w:sz w:val="32"/>
          <w:szCs w:val="32"/>
          <w:u w:val="none"/>
          <w:lang w:val="en-US" w:eastAsia="zh-CN"/>
        </w:rPr>
      </w:pPr>
      <w:r>
        <w:rPr>
          <w:rFonts w:hint="eastAsia" w:ascii="仿宋_GB2312" w:hAnsi="仿宋_GB2312" w:eastAsia="仿宋_GB2312" w:cs="仿宋_GB2312"/>
          <w:color w:val="auto"/>
          <w:spacing w:val="0"/>
          <w:sz w:val="32"/>
          <w:szCs w:val="32"/>
          <w:u w:val="none"/>
          <w:lang w:val="en-US" w:eastAsia="zh-CN"/>
        </w:rPr>
        <w:t>经典文学的当代阐释与传播研究</w:t>
      </w:r>
    </w:p>
    <w:p w14:paraId="4BD07470">
      <w:pPr>
        <w:keepNext w:val="0"/>
        <w:keepLines w:val="0"/>
        <w:pageBreakBefore w:val="0"/>
        <w:widowControl w:val="0"/>
        <w:numPr>
          <w:ilvl w:val="0"/>
          <w:numId w:val="9"/>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pacing w:val="0"/>
          <w:sz w:val="32"/>
          <w:szCs w:val="32"/>
          <w:u w:val="none"/>
          <w:lang w:val="en-US" w:eastAsia="zh-CN"/>
        </w:rPr>
      </w:pPr>
      <w:r>
        <w:rPr>
          <w:rFonts w:hint="eastAsia" w:ascii="仿宋_GB2312" w:hAnsi="仿宋_GB2312" w:eastAsia="仿宋_GB2312" w:cs="仿宋_GB2312"/>
          <w:color w:val="auto"/>
          <w:spacing w:val="0"/>
          <w:sz w:val="32"/>
          <w:szCs w:val="32"/>
          <w:u w:val="none"/>
          <w:lang w:val="en-US" w:eastAsia="zh-CN"/>
        </w:rPr>
        <w:t>近代济南城市文学中的城市精神与记忆研究</w:t>
      </w:r>
    </w:p>
    <w:p w14:paraId="53A9A73E">
      <w:pPr>
        <w:keepNext w:val="0"/>
        <w:keepLines w:val="0"/>
        <w:pageBreakBefore w:val="0"/>
        <w:widowControl w:val="0"/>
        <w:numPr>
          <w:ilvl w:val="0"/>
          <w:numId w:val="9"/>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pacing w:val="0"/>
          <w:sz w:val="32"/>
          <w:szCs w:val="32"/>
          <w:u w:val="none"/>
          <w:lang w:val="en-US" w:eastAsia="zh-CN"/>
        </w:rPr>
      </w:pPr>
      <w:r>
        <w:rPr>
          <w:rFonts w:hint="eastAsia" w:ascii="仿宋_GB2312" w:hAnsi="仿宋_GB2312" w:eastAsia="仿宋_GB2312" w:cs="仿宋_GB2312"/>
          <w:color w:val="auto"/>
          <w:spacing w:val="0"/>
          <w:sz w:val="32"/>
          <w:szCs w:val="32"/>
          <w:u w:val="none"/>
          <w:lang w:val="en-US" w:eastAsia="zh-CN"/>
        </w:rPr>
        <w:t>济南当代文学发展与城市软实力提升耦合机制研究</w:t>
      </w:r>
    </w:p>
    <w:p w14:paraId="62FD2C50">
      <w:pPr>
        <w:keepNext w:val="0"/>
        <w:keepLines w:val="0"/>
        <w:pageBreakBefore w:val="0"/>
        <w:widowControl w:val="0"/>
        <w:numPr>
          <w:ilvl w:val="0"/>
          <w:numId w:val="9"/>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pacing w:val="0"/>
          <w:sz w:val="32"/>
          <w:szCs w:val="32"/>
          <w:u w:val="none"/>
          <w:lang w:val="en-US" w:eastAsia="zh-CN"/>
        </w:rPr>
      </w:pPr>
      <w:r>
        <w:rPr>
          <w:rFonts w:hint="eastAsia" w:ascii="仿宋_GB2312" w:hAnsi="仿宋_GB2312" w:eastAsia="仿宋_GB2312" w:cs="仿宋_GB2312"/>
          <w:color w:val="auto"/>
          <w:spacing w:val="0"/>
          <w:sz w:val="32"/>
          <w:szCs w:val="32"/>
          <w:u w:val="none"/>
          <w:lang w:val="en-US" w:eastAsia="zh-CN"/>
        </w:rPr>
        <w:t>李清照、辛弃疾的词学思想研究</w:t>
      </w:r>
    </w:p>
    <w:p w14:paraId="766A2924">
      <w:pPr>
        <w:keepNext w:val="0"/>
        <w:keepLines w:val="0"/>
        <w:pageBreakBefore w:val="0"/>
        <w:widowControl w:val="0"/>
        <w:numPr>
          <w:ilvl w:val="0"/>
          <w:numId w:val="9"/>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pacing w:val="0"/>
          <w:sz w:val="32"/>
          <w:szCs w:val="32"/>
          <w:u w:val="none"/>
          <w:lang w:val="en-US" w:eastAsia="zh-CN"/>
        </w:rPr>
      </w:pPr>
      <w:r>
        <w:rPr>
          <w:rFonts w:hint="eastAsia" w:ascii="仿宋_GB2312" w:hAnsi="仿宋_GB2312" w:eastAsia="仿宋_GB2312" w:cs="仿宋_GB2312"/>
          <w:color w:val="auto"/>
          <w:spacing w:val="0"/>
          <w:sz w:val="32"/>
          <w:szCs w:val="32"/>
          <w:u w:val="none"/>
          <w:lang w:val="en-US" w:eastAsia="zh-CN"/>
        </w:rPr>
        <w:t>济南地方戏曲与曲艺研究</w:t>
      </w:r>
    </w:p>
    <w:p w14:paraId="47CC49A9">
      <w:pPr>
        <w:keepNext w:val="0"/>
        <w:keepLines w:val="0"/>
        <w:pageBreakBefore w:val="0"/>
        <w:widowControl w:val="0"/>
        <w:numPr>
          <w:ilvl w:val="0"/>
          <w:numId w:val="9"/>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pacing w:val="0"/>
          <w:sz w:val="32"/>
          <w:szCs w:val="32"/>
          <w:u w:val="none"/>
          <w:lang w:val="en-US" w:eastAsia="zh-CN"/>
        </w:rPr>
      </w:pPr>
      <w:r>
        <w:rPr>
          <w:rFonts w:hint="eastAsia" w:ascii="仿宋_GB2312" w:hAnsi="仿宋_GB2312" w:eastAsia="仿宋_GB2312" w:cs="仿宋_GB2312"/>
          <w:color w:val="auto"/>
          <w:spacing w:val="0"/>
          <w:sz w:val="32"/>
          <w:szCs w:val="32"/>
          <w:u w:val="none"/>
          <w:lang w:val="en-US" w:eastAsia="zh-CN"/>
        </w:rPr>
        <w:t>繁荣“新大众文艺”推动济南文化强市建设研究</w:t>
      </w:r>
    </w:p>
    <w:p w14:paraId="2E86F3CD">
      <w:pPr>
        <w:keepNext w:val="0"/>
        <w:keepLines w:val="0"/>
        <w:pageBreakBefore w:val="0"/>
        <w:widowControl w:val="0"/>
        <w:numPr>
          <w:ilvl w:val="0"/>
          <w:numId w:val="9"/>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pacing w:val="0"/>
          <w:sz w:val="32"/>
          <w:szCs w:val="32"/>
          <w:u w:val="none"/>
          <w:lang w:val="en-US" w:eastAsia="zh-CN"/>
        </w:rPr>
      </w:pPr>
      <w:r>
        <w:rPr>
          <w:rFonts w:hint="eastAsia" w:ascii="仿宋_GB2312" w:hAnsi="仿宋_GB2312" w:eastAsia="仿宋_GB2312" w:cs="仿宋_GB2312"/>
          <w:color w:val="auto"/>
          <w:spacing w:val="0"/>
          <w:sz w:val="32"/>
          <w:szCs w:val="32"/>
          <w:u w:val="none"/>
          <w:lang w:val="en-US" w:eastAsia="zh-CN"/>
        </w:rPr>
        <w:t>数字艺术赋能济南公共文化应用场景研究</w:t>
      </w:r>
    </w:p>
    <w:p w14:paraId="1F0AAA9C">
      <w:pPr>
        <w:keepNext w:val="0"/>
        <w:keepLines w:val="0"/>
        <w:pageBreakBefore w:val="0"/>
        <w:widowControl w:val="0"/>
        <w:numPr>
          <w:ilvl w:val="0"/>
          <w:numId w:val="9"/>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pacing w:val="0"/>
          <w:sz w:val="32"/>
          <w:szCs w:val="32"/>
          <w:u w:val="none"/>
          <w:lang w:val="en-US" w:eastAsia="zh-CN"/>
        </w:rPr>
      </w:pPr>
      <w:r>
        <w:rPr>
          <w:rFonts w:hint="eastAsia" w:ascii="仿宋_GB2312" w:hAnsi="仿宋_GB2312" w:eastAsia="仿宋_GB2312" w:cs="仿宋_GB2312"/>
          <w:color w:val="auto"/>
          <w:spacing w:val="0"/>
          <w:sz w:val="32"/>
          <w:szCs w:val="32"/>
          <w:u w:val="none"/>
          <w:lang w:val="en-US" w:eastAsia="zh-CN"/>
        </w:rPr>
        <w:t>Z世代青年群体文化消费趋势研究</w:t>
      </w:r>
    </w:p>
    <w:p w14:paraId="7DE9C242">
      <w:pPr>
        <w:keepNext w:val="0"/>
        <w:keepLines w:val="0"/>
        <w:pageBreakBefore w:val="0"/>
        <w:widowControl w:val="0"/>
        <w:numPr>
          <w:ilvl w:val="0"/>
          <w:numId w:val="9"/>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pacing w:val="0"/>
          <w:sz w:val="32"/>
          <w:szCs w:val="32"/>
          <w:u w:val="none"/>
          <w:lang w:val="en-US" w:eastAsia="zh-CN"/>
        </w:rPr>
      </w:pPr>
      <w:r>
        <w:rPr>
          <w:rFonts w:hint="eastAsia" w:ascii="仿宋_GB2312" w:hAnsi="仿宋_GB2312" w:eastAsia="仿宋_GB2312" w:cs="仿宋_GB2312"/>
          <w:color w:val="auto"/>
          <w:spacing w:val="0"/>
          <w:sz w:val="32"/>
          <w:szCs w:val="32"/>
          <w:u w:val="none"/>
          <w:lang w:val="en-US" w:eastAsia="zh-CN"/>
        </w:rPr>
        <w:t>艺术赋能济南乡村振兴的路径研究</w:t>
      </w:r>
    </w:p>
    <w:p w14:paraId="0A2DC819">
      <w:pPr>
        <w:keepNext w:val="0"/>
        <w:keepLines w:val="0"/>
        <w:pageBreakBefore w:val="0"/>
        <w:widowControl w:val="0"/>
        <w:numPr>
          <w:ilvl w:val="0"/>
          <w:numId w:val="9"/>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pacing w:val="0"/>
          <w:sz w:val="32"/>
          <w:szCs w:val="32"/>
          <w:u w:val="none"/>
          <w:lang w:val="en-US" w:eastAsia="zh-CN"/>
        </w:rPr>
      </w:pPr>
      <w:r>
        <w:rPr>
          <w:rFonts w:hint="eastAsia" w:ascii="仿宋_GB2312" w:hAnsi="仿宋_GB2312" w:eastAsia="仿宋_GB2312" w:cs="仿宋_GB2312"/>
          <w:color w:val="auto"/>
          <w:spacing w:val="0"/>
          <w:sz w:val="32"/>
          <w:szCs w:val="32"/>
          <w:u w:val="none"/>
          <w:lang w:val="en-US" w:eastAsia="zh-CN"/>
        </w:rPr>
        <w:t>文旅商体融合背景下济南演艺新业态高质量发展研究</w:t>
      </w:r>
    </w:p>
    <w:p w14:paraId="7A192683">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Times New Roman"/>
          <w:color w:val="auto"/>
          <w:spacing w:val="0"/>
          <w:sz w:val="32"/>
          <w:szCs w:val="32"/>
          <w:u w:val="none"/>
          <w:lang w:eastAsia="zh-CN"/>
        </w:rPr>
      </w:pPr>
      <w:r>
        <w:rPr>
          <w:rFonts w:hint="eastAsia" w:ascii="黑体" w:hAnsi="黑体" w:eastAsia="黑体" w:cs="Times New Roman"/>
          <w:color w:val="auto"/>
          <w:spacing w:val="0"/>
          <w:sz w:val="32"/>
          <w:szCs w:val="32"/>
          <w:u w:val="none"/>
          <w:lang w:eastAsia="zh-CN"/>
        </w:rPr>
        <w:t>新闻学·传播学</w:t>
      </w:r>
    </w:p>
    <w:p w14:paraId="354BD708">
      <w:pPr>
        <w:keepNext w:val="0"/>
        <w:keepLines w:val="0"/>
        <w:pageBreakBefore w:val="0"/>
        <w:widowControl w:val="0"/>
        <w:numPr>
          <w:ilvl w:val="0"/>
          <w:numId w:val="10"/>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党的创新理论传播效能提升路径研究</w:t>
      </w:r>
    </w:p>
    <w:p w14:paraId="34B39EA6">
      <w:pPr>
        <w:keepNext w:val="0"/>
        <w:keepLines w:val="0"/>
        <w:pageBreakBefore w:val="0"/>
        <w:widowControl w:val="0"/>
        <w:numPr>
          <w:ilvl w:val="0"/>
          <w:numId w:val="10"/>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济南主流媒体系统性变革路径研究</w:t>
      </w:r>
    </w:p>
    <w:p w14:paraId="02647BA1">
      <w:pPr>
        <w:keepNext w:val="0"/>
        <w:keepLines w:val="0"/>
        <w:pageBreakBefore w:val="0"/>
        <w:widowControl w:val="0"/>
        <w:numPr>
          <w:ilvl w:val="0"/>
          <w:numId w:val="10"/>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短视频时代网络舆论生态治理与优化路径研究</w:t>
      </w:r>
    </w:p>
    <w:p w14:paraId="0CB235CA">
      <w:pPr>
        <w:keepNext w:val="0"/>
        <w:keepLines w:val="0"/>
        <w:pageBreakBefore w:val="0"/>
        <w:widowControl w:val="0"/>
        <w:numPr>
          <w:ilvl w:val="0"/>
          <w:numId w:val="10"/>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智能时代青少年网络价值观引导研究</w:t>
      </w:r>
    </w:p>
    <w:p w14:paraId="5F0CE591">
      <w:pPr>
        <w:keepNext w:val="0"/>
        <w:keepLines w:val="0"/>
        <w:pageBreakBefore w:val="0"/>
        <w:widowControl w:val="0"/>
        <w:numPr>
          <w:ilvl w:val="0"/>
          <w:numId w:val="10"/>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重大突发公共事件的舆情治理体系优化研究</w:t>
      </w:r>
    </w:p>
    <w:p w14:paraId="68A8C5BC">
      <w:pPr>
        <w:keepNext w:val="0"/>
        <w:keepLines w:val="0"/>
        <w:pageBreakBefore w:val="0"/>
        <w:widowControl w:val="0"/>
        <w:numPr>
          <w:ilvl w:val="0"/>
          <w:numId w:val="10"/>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微短剧行业价值观导向及行业规范研究</w:t>
      </w:r>
    </w:p>
    <w:p w14:paraId="4BD96C9F">
      <w:pPr>
        <w:keepNext w:val="0"/>
        <w:keepLines w:val="0"/>
        <w:pageBreakBefore w:val="0"/>
        <w:widowControl w:val="0"/>
        <w:numPr>
          <w:ilvl w:val="0"/>
          <w:numId w:val="10"/>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济南新型文化业态发展研究</w:t>
      </w:r>
    </w:p>
    <w:p w14:paraId="55E036FB">
      <w:pPr>
        <w:keepNext w:val="0"/>
        <w:keepLines w:val="0"/>
        <w:pageBreakBefore w:val="0"/>
        <w:widowControl w:val="0"/>
        <w:numPr>
          <w:ilvl w:val="0"/>
          <w:numId w:val="10"/>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济南提升国际传播效能路径研究</w:t>
      </w:r>
    </w:p>
    <w:p w14:paraId="056232C9">
      <w:pPr>
        <w:keepNext w:val="0"/>
        <w:keepLines w:val="0"/>
        <w:pageBreakBefore w:val="0"/>
        <w:widowControl w:val="0"/>
        <w:numPr>
          <w:ilvl w:val="0"/>
          <w:numId w:val="10"/>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打造济南城市文化形象标识路径研究</w:t>
      </w:r>
    </w:p>
    <w:p w14:paraId="337AE898">
      <w:pPr>
        <w:keepNext w:val="0"/>
        <w:keepLines w:val="0"/>
        <w:pageBreakBefore w:val="0"/>
        <w:widowControl w:val="0"/>
        <w:numPr>
          <w:ilvl w:val="0"/>
          <w:numId w:val="10"/>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“泉城好品”区域公共品牌的新媒体传播策略研究</w:t>
      </w:r>
    </w:p>
    <w:p w14:paraId="4E17022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Times New Roman"/>
          <w:color w:val="auto"/>
          <w:spacing w:val="0"/>
          <w:sz w:val="32"/>
          <w:szCs w:val="32"/>
          <w:u w:val="none"/>
          <w:lang w:eastAsia="zh-CN"/>
        </w:rPr>
      </w:pPr>
      <w:r>
        <w:rPr>
          <w:rFonts w:hint="eastAsia" w:ascii="黑体" w:hAnsi="黑体" w:eastAsia="黑体" w:cs="Times New Roman"/>
          <w:color w:val="auto"/>
          <w:spacing w:val="0"/>
          <w:sz w:val="32"/>
          <w:szCs w:val="32"/>
          <w:u w:val="none"/>
          <w:lang w:eastAsia="zh-CN"/>
        </w:rPr>
        <w:t>民族学·宗教学</w:t>
      </w:r>
    </w:p>
    <w:p w14:paraId="271F327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1.中华文明突出特性的实证研究</w:t>
      </w:r>
    </w:p>
    <w:p w14:paraId="277AEF0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2.提升中华文化认同的海外传播路径研究</w:t>
      </w:r>
    </w:p>
    <w:p w14:paraId="1147B83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3.黄河文化与铸牢中华民族共同体意识的内在联系研究</w:t>
      </w:r>
    </w:p>
    <w:p w14:paraId="52CF45F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4.济南多民族交融史料挖掘与当代价值研究</w:t>
      </w:r>
    </w:p>
    <w:p w14:paraId="31FF73A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5.济南城市多民族互嵌式社区建设研究</w:t>
      </w:r>
    </w:p>
    <w:p w14:paraId="30EAA3A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6.本土宗教时代化发展与传承创新研究</w:t>
      </w:r>
    </w:p>
    <w:p w14:paraId="2C2A34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7.数字化背景下济南民族宗教领域风险预警机制研究</w:t>
      </w:r>
    </w:p>
    <w:p w14:paraId="593047A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8.济南宗教场所规范化管理研究</w:t>
      </w:r>
    </w:p>
    <w:p w14:paraId="323AA7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9.宗教事务治理法治化研究</w:t>
      </w:r>
    </w:p>
    <w:p w14:paraId="1ACDBD7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10.民族宗教领域基层工作队伍建设研究</w:t>
      </w:r>
    </w:p>
    <w:p w14:paraId="4324B170">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Times New Roman"/>
          <w:color w:val="auto"/>
          <w:spacing w:val="0"/>
          <w:sz w:val="32"/>
          <w:szCs w:val="32"/>
          <w:u w:val="none"/>
          <w:lang w:eastAsia="zh-CN"/>
        </w:rPr>
      </w:pPr>
      <w:r>
        <w:rPr>
          <w:rFonts w:hint="eastAsia" w:ascii="黑体" w:hAnsi="黑体" w:eastAsia="黑体" w:cs="Times New Roman"/>
          <w:color w:val="auto"/>
          <w:spacing w:val="0"/>
          <w:sz w:val="32"/>
          <w:szCs w:val="32"/>
          <w:u w:val="none"/>
          <w:lang w:eastAsia="zh-CN"/>
        </w:rPr>
        <w:t>历史学·考古学</w:t>
      </w:r>
    </w:p>
    <w:p w14:paraId="762A958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1.中国式现代化与世界历史进程关联性研究</w:t>
      </w:r>
    </w:p>
    <w:p w14:paraId="05D4B42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2.济南城市发展史研究</w:t>
      </w:r>
    </w:p>
    <w:p w14:paraId="667C420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3.济南重要考古发现与考古成果活化利用研究</w:t>
      </w:r>
    </w:p>
    <w:p w14:paraId="5BD4E31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4.齐长城文化遗产保护利用与国家文化公园建设研究</w:t>
      </w:r>
    </w:p>
    <w:p w14:paraId="66CE929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5.“扁鹊故里”品牌提升及中医药文化建设与产业融合发展研究</w:t>
      </w:r>
    </w:p>
    <w:p w14:paraId="4E64B9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6.城市更新背景下济南历史文脉传承与活化利用研究</w:t>
      </w:r>
    </w:p>
    <w:p w14:paraId="672C814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7.济南商埠区文化遗产保护与活化利用研究</w:t>
      </w:r>
    </w:p>
    <w:p w14:paraId="03B0C0D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8.济南红色文化资源系统性保护与活化利用研究</w:t>
      </w:r>
    </w:p>
    <w:p w14:paraId="6CCE661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9.泉水文化的内涵和挖掘利用、创新发展研究</w:t>
      </w:r>
    </w:p>
    <w:p w14:paraId="44E760C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10.黄河文化、大舜文化、“二安”文化、名士文化、龙山文化、泰山文化等优秀传统文化研究</w:t>
      </w:r>
    </w:p>
    <w:p w14:paraId="5AC1B554">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Times New Roman"/>
          <w:color w:val="auto"/>
          <w:spacing w:val="0"/>
          <w:sz w:val="32"/>
          <w:szCs w:val="32"/>
          <w:u w:val="none"/>
          <w:lang w:eastAsia="zh-CN"/>
        </w:rPr>
      </w:pPr>
      <w:r>
        <w:rPr>
          <w:rFonts w:hint="eastAsia" w:ascii="黑体" w:hAnsi="黑体" w:eastAsia="黑体" w:cs="Times New Roman"/>
          <w:color w:val="auto"/>
          <w:spacing w:val="0"/>
          <w:sz w:val="32"/>
          <w:szCs w:val="32"/>
          <w:u w:val="none"/>
          <w:lang w:eastAsia="zh-CN"/>
        </w:rPr>
        <w:t>教育学·体育学</w:t>
      </w:r>
    </w:p>
    <w:p w14:paraId="020F4AE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1.科教强市人才兴市战略下济南推进教育、科技、人才一体化发展研究</w:t>
      </w:r>
    </w:p>
    <w:p w14:paraId="669C850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2.推动济南城乡教育一体化发展路径研究</w:t>
      </w:r>
    </w:p>
    <w:p w14:paraId="2611F49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6"/>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3.</w:t>
      </w:r>
      <w:r>
        <w:rPr>
          <w:rFonts w:hint="eastAsia" w:ascii="仿宋_GB2312" w:hAnsi="Calibri" w:eastAsia="仿宋_GB2312" w:cs="Times New Roman"/>
          <w:color w:val="auto"/>
          <w:spacing w:val="-6"/>
          <w:sz w:val="32"/>
          <w:szCs w:val="32"/>
          <w:u w:val="none"/>
          <w:lang w:val="en-US" w:eastAsia="zh-CN"/>
        </w:rPr>
        <w:t>教育数字化背景下教师数字素养培育体系与保障机制研究</w:t>
      </w:r>
    </w:p>
    <w:p w14:paraId="5405083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color w:val="auto"/>
          <w:spacing w:val="0"/>
          <w:sz w:val="32"/>
          <w:szCs w:val="32"/>
          <w:u w:val="none"/>
          <w:lang w:val="en-US" w:eastAsia="zh-CN"/>
        </w:rPr>
      </w:pPr>
      <w:r>
        <w:rPr>
          <w:rFonts w:hint="eastAsia" w:ascii="仿宋_GB2312" w:hAnsi="Calibri" w:eastAsia="仿宋_GB2312" w:cs="Times New Roman"/>
          <w:color w:val="auto"/>
          <w:spacing w:val="0"/>
          <w:sz w:val="32"/>
          <w:szCs w:val="32"/>
          <w:u w:val="none"/>
          <w:lang w:val="en-US" w:eastAsia="zh-CN"/>
        </w:rPr>
        <w:t>4.济南学龄人口变化趋势与基础教育资源布局优化研究</w:t>
      </w:r>
    </w:p>
    <w:p w14:paraId="04FA488D">
      <w:pPr>
        <w:keepNext w:val="0"/>
        <w:keepLines w:val="0"/>
        <w:pageBreakBefore w:val="0"/>
        <w:widowControl w:val="0"/>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5.济南职业教育服务“13+34”产</w:t>
      </w:r>
      <w:bookmarkStart w:id="0" w:name="_GoBack"/>
      <w:bookmarkEnd w:id="0"/>
      <w:r>
        <w:rPr>
          <w:rFonts w:hint="eastAsia" w:ascii="仿宋_GB2312" w:hAnsi="Calibri" w:eastAsia="仿宋_GB2312" w:cs="Times New Roman"/>
          <w:color w:val="auto"/>
          <w:spacing w:val="0"/>
          <w:kern w:val="2"/>
          <w:sz w:val="32"/>
          <w:szCs w:val="32"/>
          <w:u w:val="none"/>
          <w:lang w:val="en-US" w:eastAsia="zh-CN" w:bidi="ar-SA"/>
        </w:rPr>
        <w:t>业链人才培养模式研究</w:t>
      </w:r>
    </w:p>
    <w:p w14:paraId="76F6F038">
      <w:pPr>
        <w:keepNext w:val="0"/>
        <w:keepLines w:val="0"/>
        <w:pageBreakBefore w:val="0"/>
        <w:widowControl w:val="0"/>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6.济南中小学生心理健康教育现状、困境及对策研究</w:t>
      </w:r>
    </w:p>
    <w:p w14:paraId="58D22C9C">
      <w:pPr>
        <w:keepNext w:val="0"/>
        <w:keepLines w:val="0"/>
        <w:pageBreakBefore w:val="0"/>
        <w:widowControl w:val="0"/>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7.济南体育软实力提升路径研究</w:t>
      </w:r>
    </w:p>
    <w:p w14:paraId="42D0C0EA">
      <w:pPr>
        <w:keepNext w:val="0"/>
        <w:keepLines w:val="0"/>
        <w:pageBreakBefore w:val="0"/>
        <w:widowControl w:val="0"/>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8.济南品牌体育赛事培育与城市文旅消费联动研究</w:t>
      </w:r>
    </w:p>
    <w:p w14:paraId="5B36FF94">
      <w:pPr>
        <w:keepNext w:val="0"/>
        <w:keepLines w:val="0"/>
        <w:pageBreakBefore w:val="0"/>
        <w:widowControl w:val="0"/>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9.济南城市体育空间布局与资源高效利用研究</w:t>
      </w:r>
    </w:p>
    <w:p w14:paraId="0F798174">
      <w:pPr>
        <w:keepNext w:val="0"/>
        <w:keepLines w:val="0"/>
        <w:pageBreakBefore w:val="0"/>
        <w:widowControl w:val="0"/>
        <w:kinsoku/>
        <w:wordWrap/>
        <w:topLinePunct w:val="0"/>
        <w:bidi w:val="0"/>
        <w:adjustRightInd w:val="0"/>
        <w:spacing w:line="580" w:lineRule="exact"/>
        <w:ind w:firstLine="640" w:firstLineChars="200"/>
        <w:jc w:val="left"/>
        <w:textAlignment w:val="baseline"/>
        <w:rPr>
          <w:rFonts w:hint="eastAsia" w:ascii="仿宋_GB2312" w:hAnsi="Calibri" w:eastAsia="仿宋_GB2312" w:cs="Times New Roman"/>
          <w:color w:val="auto"/>
          <w:spacing w:val="0"/>
          <w:kern w:val="2"/>
          <w:sz w:val="32"/>
          <w:szCs w:val="32"/>
          <w:u w:val="none"/>
          <w:lang w:val="en-US" w:eastAsia="zh-CN" w:bidi="ar-SA"/>
        </w:rPr>
      </w:pPr>
      <w:r>
        <w:rPr>
          <w:rFonts w:hint="eastAsia" w:ascii="仿宋_GB2312" w:hAnsi="Calibri" w:eastAsia="仿宋_GB2312" w:cs="Times New Roman"/>
          <w:color w:val="auto"/>
          <w:spacing w:val="0"/>
          <w:kern w:val="2"/>
          <w:sz w:val="32"/>
          <w:szCs w:val="32"/>
          <w:u w:val="none"/>
          <w:lang w:val="en-US" w:eastAsia="zh-CN" w:bidi="ar-SA"/>
        </w:rPr>
        <w:t>10.济南全民健身公共服务体系优化研究</w:t>
      </w:r>
    </w:p>
    <w:p w14:paraId="577F0089">
      <w:pPr>
        <w:pStyle w:val="2"/>
        <w:ind w:firstLine="640" w:firstLineChars="200"/>
        <w:rPr>
          <w:rFonts w:hint="eastAsia" w:ascii="仿宋_GB2312" w:eastAsia="仿宋_GB2312" w:cstheme="minorBidi"/>
          <w:color w:val="auto"/>
          <w:spacing w:val="0"/>
          <w:kern w:val="2"/>
          <w:sz w:val="32"/>
          <w:szCs w:val="32"/>
          <w:lang w:val="en-US" w:eastAsia="zh-CN" w:bidi="ar-SA"/>
        </w:rPr>
      </w:pPr>
    </w:p>
    <w:sectPr>
      <w:footerReference r:id="rId3" w:type="default"/>
      <w:pgSz w:w="11906" w:h="16838"/>
      <w:pgMar w:top="1984" w:right="1474" w:bottom="170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09D8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68D3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E68D3B">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ABF790"/>
    <w:multiLevelType w:val="singleLevel"/>
    <w:tmpl w:val="85ABF790"/>
    <w:lvl w:ilvl="0" w:tentative="0">
      <w:start w:val="1"/>
      <w:numFmt w:val="decimal"/>
      <w:suff w:val="nothing"/>
      <w:lvlText w:val="%1."/>
      <w:lvlJc w:val="left"/>
      <w:pPr>
        <w:ind w:left="640" w:leftChars="0" w:firstLine="0" w:firstLineChars="0"/>
      </w:pPr>
    </w:lvl>
  </w:abstractNum>
  <w:abstractNum w:abstractNumId="1">
    <w:nsid w:val="A0626068"/>
    <w:multiLevelType w:val="singleLevel"/>
    <w:tmpl w:val="A0626068"/>
    <w:lvl w:ilvl="0" w:tentative="0">
      <w:start w:val="1"/>
      <w:numFmt w:val="decimal"/>
      <w:suff w:val="nothing"/>
      <w:lvlText w:val="%1."/>
      <w:lvlJc w:val="left"/>
    </w:lvl>
  </w:abstractNum>
  <w:abstractNum w:abstractNumId="2">
    <w:nsid w:val="AF805D7D"/>
    <w:multiLevelType w:val="singleLevel"/>
    <w:tmpl w:val="AF805D7D"/>
    <w:lvl w:ilvl="0" w:tentative="0">
      <w:start w:val="1"/>
      <w:numFmt w:val="decimal"/>
      <w:suff w:val="nothing"/>
      <w:lvlText w:val="%1."/>
      <w:lvlJc w:val="left"/>
    </w:lvl>
  </w:abstractNum>
  <w:abstractNum w:abstractNumId="3">
    <w:nsid w:val="B4A5D440"/>
    <w:multiLevelType w:val="singleLevel"/>
    <w:tmpl w:val="B4A5D440"/>
    <w:lvl w:ilvl="0" w:tentative="0">
      <w:start w:val="1"/>
      <w:numFmt w:val="decimal"/>
      <w:suff w:val="nothing"/>
      <w:lvlText w:val="%1."/>
      <w:lvlJc w:val="left"/>
      <w:rPr>
        <w:rFonts w:hint="default" w:ascii="仿宋_GB2312" w:hAnsi="仿宋_GB2312" w:eastAsia="仿宋_GB2312" w:cs="仿宋_GB2312"/>
        <w:sz w:val="32"/>
        <w:szCs w:val="32"/>
      </w:rPr>
    </w:lvl>
  </w:abstractNum>
  <w:abstractNum w:abstractNumId="4">
    <w:nsid w:val="C8EEA2B9"/>
    <w:multiLevelType w:val="singleLevel"/>
    <w:tmpl w:val="C8EEA2B9"/>
    <w:lvl w:ilvl="0" w:tentative="0">
      <w:start w:val="1"/>
      <w:numFmt w:val="decimal"/>
      <w:suff w:val="nothing"/>
      <w:lvlText w:val="%1."/>
      <w:lvlJc w:val="left"/>
    </w:lvl>
  </w:abstractNum>
  <w:abstractNum w:abstractNumId="5">
    <w:nsid w:val="E48E4467"/>
    <w:multiLevelType w:val="singleLevel"/>
    <w:tmpl w:val="E48E4467"/>
    <w:lvl w:ilvl="0" w:tentative="0">
      <w:start w:val="1"/>
      <w:numFmt w:val="decimal"/>
      <w:suff w:val="nothing"/>
      <w:lvlText w:val="%1."/>
      <w:lvlJc w:val="left"/>
    </w:lvl>
  </w:abstractNum>
  <w:abstractNum w:abstractNumId="6">
    <w:nsid w:val="2C9F63E9"/>
    <w:multiLevelType w:val="singleLevel"/>
    <w:tmpl w:val="2C9F63E9"/>
    <w:lvl w:ilvl="0" w:tentative="0">
      <w:start w:val="1"/>
      <w:numFmt w:val="decimal"/>
      <w:suff w:val="nothing"/>
      <w:lvlText w:val="%1."/>
      <w:lvlJc w:val="left"/>
    </w:lvl>
  </w:abstractNum>
  <w:abstractNum w:abstractNumId="7">
    <w:nsid w:val="4AB2BDB2"/>
    <w:multiLevelType w:val="singleLevel"/>
    <w:tmpl w:val="4AB2BDB2"/>
    <w:lvl w:ilvl="0" w:tentative="0">
      <w:start w:val="1"/>
      <w:numFmt w:val="chineseCounting"/>
      <w:suff w:val="nothing"/>
      <w:lvlText w:val="%1、"/>
      <w:lvlJc w:val="left"/>
      <w:rPr>
        <w:rFonts w:hint="eastAsia"/>
      </w:rPr>
    </w:lvl>
  </w:abstractNum>
  <w:abstractNum w:abstractNumId="8">
    <w:nsid w:val="55F989C8"/>
    <w:multiLevelType w:val="singleLevel"/>
    <w:tmpl w:val="55F989C8"/>
    <w:lvl w:ilvl="0" w:tentative="0">
      <w:start w:val="1"/>
      <w:numFmt w:val="decimal"/>
      <w:suff w:val="nothing"/>
      <w:lvlText w:val="%1."/>
      <w:lvlJc w:val="left"/>
    </w:lvl>
  </w:abstractNum>
  <w:abstractNum w:abstractNumId="9">
    <w:nsid w:val="7590B730"/>
    <w:multiLevelType w:val="singleLevel"/>
    <w:tmpl w:val="7590B730"/>
    <w:lvl w:ilvl="0" w:tentative="0">
      <w:start w:val="1"/>
      <w:numFmt w:val="decimal"/>
      <w:suff w:val="nothing"/>
      <w:lvlText w:val="%1."/>
      <w:lvlJc w:val="left"/>
    </w:lvl>
  </w:abstractNum>
  <w:num w:numId="1">
    <w:abstractNumId w:val="7"/>
  </w:num>
  <w:num w:numId="2">
    <w:abstractNumId w:val="3"/>
  </w:num>
  <w:num w:numId="3">
    <w:abstractNumId w:val="1"/>
  </w:num>
  <w:num w:numId="4">
    <w:abstractNumId w:val="0"/>
  </w:num>
  <w:num w:numId="5">
    <w:abstractNumId w:val="9"/>
  </w:num>
  <w:num w:numId="6">
    <w:abstractNumId w:val="8"/>
  </w:num>
  <w:num w:numId="7">
    <w:abstractNumId w:val="4"/>
  </w:num>
  <w:num w:numId="8">
    <w:abstractNumId w:val="2"/>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iZGFlZjQwNGRhNzE1NmJmZTFiMDI0OTMyOTRiNWQifQ=="/>
  </w:docVars>
  <w:rsids>
    <w:rsidRoot w:val="00000000"/>
    <w:rsid w:val="00C92916"/>
    <w:rsid w:val="0218559A"/>
    <w:rsid w:val="042E24FA"/>
    <w:rsid w:val="06533545"/>
    <w:rsid w:val="06833659"/>
    <w:rsid w:val="0C0249C6"/>
    <w:rsid w:val="0EE72549"/>
    <w:rsid w:val="12661A3D"/>
    <w:rsid w:val="159643E7"/>
    <w:rsid w:val="16781044"/>
    <w:rsid w:val="17D23070"/>
    <w:rsid w:val="18C43939"/>
    <w:rsid w:val="18D620E9"/>
    <w:rsid w:val="198527A8"/>
    <w:rsid w:val="1D586750"/>
    <w:rsid w:val="1F6E5593"/>
    <w:rsid w:val="217F75D6"/>
    <w:rsid w:val="21F64C2B"/>
    <w:rsid w:val="22721F0F"/>
    <w:rsid w:val="23EE1AA9"/>
    <w:rsid w:val="2630690A"/>
    <w:rsid w:val="28B069B5"/>
    <w:rsid w:val="29FB2613"/>
    <w:rsid w:val="2A4C6DA5"/>
    <w:rsid w:val="2BB533C1"/>
    <w:rsid w:val="2D0A1021"/>
    <w:rsid w:val="2D1F0714"/>
    <w:rsid w:val="2D5173D8"/>
    <w:rsid w:val="2DA86736"/>
    <w:rsid w:val="2E361B6F"/>
    <w:rsid w:val="2FBE036A"/>
    <w:rsid w:val="325504AD"/>
    <w:rsid w:val="346F2F05"/>
    <w:rsid w:val="34B202EC"/>
    <w:rsid w:val="36227A88"/>
    <w:rsid w:val="381310BB"/>
    <w:rsid w:val="39956262"/>
    <w:rsid w:val="3D076A9B"/>
    <w:rsid w:val="3D8E3C0E"/>
    <w:rsid w:val="425E3AFC"/>
    <w:rsid w:val="43BD0E3D"/>
    <w:rsid w:val="43D8399D"/>
    <w:rsid w:val="447D3943"/>
    <w:rsid w:val="46324428"/>
    <w:rsid w:val="4EC8490A"/>
    <w:rsid w:val="51586D9C"/>
    <w:rsid w:val="541F267B"/>
    <w:rsid w:val="54D90EE4"/>
    <w:rsid w:val="59E879A1"/>
    <w:rsid w:val="5CA01836"/>
    <w:rsid w:val="5EFB151B"/>
    <w:rsid w:val="61034AC6"/>
    <w:rsid w:val="613A51F3"/>
    <w:rsid w:val="657F1D6E"/>
    <w:rsid w:val="65FE0EE5"/>
    <w:rsid w:val="66AA5116"/>
    <w:rsid w:val="69233453"/>
    <w:rsid w:val="6A8F076E"/>
    <w:rsid w:val="6E7B2B43"/>
    <w:rsid w:val="71860389"/>
    <w:rsid w:val="72507AA6"/>
    <w:rsid w:val="747F58E7"/>
    <w:rsid w:val="789257BE"/>
    <w:rsid w:val="794F6B64"/>
    <w:rsid w:val="7F636B57"/>
    <w:rsid w:val="7FEF40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adjustRightInd w:val="0"/>
      <w:jc w:val="left"/>
      <w:textAlignment w:val="baseline"/>
    </w:pPr>
    <w:rPr>
      <w:rFonts w:eastAsia="宋体"/>
      <w:sz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2210</Words>
  <Characters>2219</Characters>
  <Lines>0</Lines>
  <Paragraphs>0</Paragraphs>
  <TotalTime>4</TotalTime>
  <ScaleCrop>false</ScaleCrop>
  <LinksUpToDate>false</LinksUpToDate>
  <CharactersWithSpaces>2219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dc:creator>
  <cp:lastModifiedBy>小筱</cp:lastModifiedBy>
  <cp:lastPrinted>2024-09-27T01:31:00Z</cp:lastPrinted>
  <dcterms:modified xsi:type="dcterms:W3CDTF">2026-09-29T07:43:04Z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FE969A91C6F24B6487ED7A89B8ED4D6F_13</vt:lpwstr>
  </property>
  <property fmtid="{D5CDD505-2E9C-101B-9397-08002B2CF9AE}" pid="4" name="KSOTemplateDocerSaveRecord">
    <vt:lpwstr>eyJoZGlkIjoiOWE4NzliNjIxOThjNGU4ODI5YmZmODk1YTgwOGExODMiLCJ1c2VySWQiOiI1OTU4NzAxOTgifQ==</vt:lpwstr>
  </property>
</Properties>
</file>