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after="157" w:afterLines="50" w:line="600" w:lineRule="exact"/>
        <w:jc w:val="left"/>
        <w:textAlignment w:val="auto"/>
        <w:outlineLvl w:val="1"/>
        <w:rPr>
          <w:rFonts w:hint="default" w:ascii="Times New Roman" w:hAnsi="Times New Roman" w:eastAsia="黑体" w:cs="Times New Roman"/>
          <w:color w:val="auto"/>
          <w:sz w:val="32"/>
          <w:szCs w:val="32"/>
          <w:lang w:val="en-US" w:eastAsia="zh-CN"/>
        </w:rPr>
      </w:pPr>
      <w:bookmarkStart w:id="0" w:name="_GoBack"/>
      <w:r>
        <w:rPr>
          <w:rFonts w:hint="default" w:ascii="Times New Roman" w:hAnsi="Times New Roman" w:eastAsia="黑体" w:cs="Times New Roman"/>
          <w:color w:val="auto"/>
          <w:sz w:val="32"/>
          <w:szCs w:val="32"/>
          <w:lang w:eastAsia="zh-CN"/>
        </w:rPr>
        <w:t>附件</w:t>
      </w:r>
      <w:r>
        <w:rPr>
          <w:rFonts w:hint="default" w:ascii="Times New Roman" w:hAnsi="Times New Roman" w:eastAsia="黑体" w:cs="Times New Roman"/>
          <w:color w:val="auto"/>
          <w:sz w:val="32"/>
          <w:szCs w:val="32"/>
          <w:lang w:val="en-US" w:eastAsia="zh-CN"/>
        </w:rPr>
        <w:t>3-4</w:t>
      </w:r>
    </w:p>
    <w:bookmarkEnd w:id="0"/>
    <w:p>
      <w:pPr>
        <w:keepNext w:val="0"/>
        <w:keepLines w:val="0"/>
        <w:pageBreakBefore w:val="0"/>
        <w:widowControl w:val="0"/>
        <w:kinsoku/>
        <w:wordWrap/>
        <w:overflowPunct/>
        <w:topLinePunct w:val="0"/>
        <w:autoSpaceDE/>
        <w:autoSpaceDN/>
        <w:bidi w:val="0"/>
        <w:adjustRightInd/>
        <w:snapToGrid/>
        <w:spacing w:after="157" w:afterLines="50" w:line="600" w:lineRule="exact"/>
        <w:jc w:val="center"/>
        <w:textAlignment w:val="auto"/>
        <w:outlineLvl w:val="1"/>
        <w:rPr>
          <w:rFonts w:ascii="方正小标宋简体" w:hAnsi="Times New Roman" w:eastAsia="方正小标宋简体"/>
          <w:color w:val="auto"/>
          <w:sz w:val="40"/>
          <w:szCs w:val="40"/>
        </w:rPr>
      </w:pPr>
      <w:r>
        <w:rPr>
          <w:rFonts w:hint="eastAsia" w:ascii="方正小标宋简体" w:hAnsi="Times New Roman" w:eastAsia="方正小标宋简体"/>
          <w:color w:val="auto"/>
          <w:sz w:val="40"/>
          <w:szCs w:val="40"/>
        </w:rPr>
        <w:t>项目申报预算编制指引</w:t>
      </w:r>
    </w:p>
    <w:p>
      <w:pPr>
        <w:keepNext w:val="0"/>
        <w:keepLines w:val="0"/>
        <w:pageBreakBefore w:val="0"/>
        <w:widowControl w:val="0"/>
        <w:wordWrap/>
        <w:overflowPunct/>
        <w:topLinePunct w:val="0"/>
        <w:bidi w:val="0"/>
        <w:spacing w:before="0" w:beforeLines="0" w:beforeAutospacing="0" w:after="0" w:afterAutospacing="0" w:line="500" w:lineRule="exact"/>
        <w:ind w:firstLine="562" w:firstLineChars="200"/>
        <w:rPr>
          <w:rFonts w:hint="default" w:ascii="Times New Roman" w:hAnsi="Times New Roman" w:eastAsia="宋体"/>
          <w:b/>
          <w:bCs/>
          <w:color w:val="auto"/>
          <w:sz w:val="28"/>
          <w:szCs w:val="28"/>
        </w:rPr>
      </w:pPr>
      <w:r>
        <w:rPr>
          <w:rFonts w:hint="default" w:ascii="Times New Roman" w:hAnsi="Times New Roman" w:eastAsia="宋体"/>
          <w:b/>
          <w:bCs/>
          <w:color w:val="auto"/>
          <w:sz w:val="28"/>
          <w:szCs w:val="28"/>
        </w:rPr>
        <w:t>一、编制原则</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项目（课题）预算由中央财政资金预算和其他来源资金预算构成，其他来源资金包括地方财政资金、企业等单位自筹资金、金融资本以及其他社会资金等各渠道资金。其他来源预算需提供出资方的出资承诺，原则上应以货币资金作为资金来源，不得使用本项目外中央及地方财政资金或中央及地方财政资金形成的资产作为资金来源。</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项目（课题）预算由收入预算与支出预算构成。支出预算应当按照资金开支范围和不同资金来源分别编列，并对各项支出的主要用途和测算理由等进行说明。其他来源资金支出无明确要求的，应参照中央财政资金管理要求。</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预算编制需遵循政策相符性、目标相关性、经济合理性。</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（一）政策相符性：项目（课题）预算科目的开支范围和开支标准，应符合国家科技重大专项资金管理暂行办法和国家有关财经法律制度相关规定。</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（二）目标相关性：项目（课题）预算应以任务目标为依据，预算支出应与项目（课题）研究开发任务密切相关，预算的总量、结构等应与设定的项目（课题）任务目标、工作内容、工作量及技术路线相符。</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三）经济合理性：项目（课题）预算应综合考虑国内外同类研究开发活动的状况以及我国相关产业行业特点等，与同类科研活动支出水平相匹配，并结合项目（课题）研究开发的现有基础、前期投入和支撑条件。在考虑技术创新风险和不影响项目（课题）任务的前提下进行安排，并提高资金效益。</w:t>
      </w:r>
    </w:p>
    <w:p>
      <w:pPr>
        <w:keepNext w:val="0"/>
        <w:keepLines w:val="0"/>
        <w:pageBreakBefore w:val="0"/>
        <w:widowControl w:val="0"/>
        <w:wordWrap/>
        <w:overflowPunct/>
        <w:topLinePunct w:val="0"/>
        <w:bidi w:val="0"/>
        <w:spacing w:before="0" w:beforeLines="0" w:beforeAutospacing="0" w:after="0" w:afterAutospacing="0" w:line="500" w:lineRule="exact"/>
        <w:ind w:firstLine="562" w:firstLineChars="200"/>
        <w:rPr>
          <w:rFonts w:hint="default" w:ascii="Times New Roman" w:hAnsi="Times New Roman" w:eastAsia="宋体"/>
          <w:b/>
          <w:bCs/>
          <w:color w:val="auto"/>
          <w:sz w:val="28"/>
          <w:szCs w:val="28"/>
        </w:rPr>
      </w:pPr>
      <w:r>
        <w:rPr>
          <w:rFonts w:hint="default" w:ascii="Times New Roman" w:hAnsi="Times New Roman" w:eastAsia="宋体"/>
          <w:b/>
          <w:bCs/>
          <w:color w:val="auto"/>
          <w:sz w:val="28"/>
          <w:szCs w:val="28"/>
        </w:rPr>
        <w:t>二、编制要点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项目（课题）预算分为直接费用和间接费用两类。直接费用是指在项目实施过程中发生的与之直接相关的费用，主要包括设备费、业务费、劳务费。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1.设备费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color w:val="auto"/>
          <w:sz w:val="28"/>
          <w:szCs w:val="28"/>
        </w:rPr>
      </w:pPr>
      <w:r>
        <w:rPr>
          <w:rFonts w:hint="default" w:ascii="Times New Roman" w:hAnsi="Times New Roman" w:eastAsia="宋体"/>
          <w:color w:val="auto"/>
          <w:sz w:val="28"/>
          <w:szCs w:val="28"/>
        </w:rPr>
        <w:t>设备费是指在项目实施过程中购置或试制专用仪器设备，对现有仪器设备进行升级改造，以及租赁或使用外单位仪器设备而发生的费用。计算类仪器设备和软件工具可在设备费科目列支。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中央财政资金中不应编列生产性设备的购置费、基建设施的建造费、实验室的常规维修改造费以及属于承担单位支撑条件的专用仪器设备购置费，并严格控制常规或通用仪器设备的购置。</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1.1设备购置费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color w:val="auto"/>
          <w:sz w:val="28"/>
          <w:szCs w:val="28"/>
        </w:rPr>
      </w:pPr>
      <w:r>
        <w:rPr>
          <w:rFonts w:hint="default" w:ascii="Times New Roman" w:hAnsi="Times New Roman" w:eastAsia="宋体"/>
          <w:color w:val="auto"/>
          <w:sz w:val="28"/>
          <w:szCs w:val="28"/>
        </w:rPr>
        <w:t>1.1.1严格控制设备购置，中央财政资金不得购置通用办公设备。鼓励开放共享、自主研制、租赁专用仪器设备以及对现有仪器设备进行升级改造，避免重复购置。</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1.1.2单台（套）50万元以上的设备费需重点说明购买的必要性和数量的合理性，50万元以下设备提供基本测算说明。购置仪器设备的选型应在能够完成项目（课题）任务的前提下，选择性价比好的仪器设备。</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1.1.3使用中央财政资金购置的单台（套）价格在200万元人民币及以上的大型科研仪器设备，应参照《中央级新购大型科研仪器设备查重评议管理办法》（财科教〔2019〕1号）相关要求，编制大型科研仪器设备购置申请报告，并配合完成查重评议工作。</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1.2设备试制费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1.2.1当试制设备为过程产品时（即为完成项目（课题）任务而研制的零部件或工具性产品），试制设备发生的相关成本（含直接相关的小型仪器设备费、材料费、测试加工费、燃料动力费等）应列入试制设备费科目；当试制设备为目标产品（即项目（课题）主要任务就是研制该设备）时，应当分别列入设备费、材料费、测试化验加工费、燃料动力费、劳务费等科目。</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1.2.2设备改造费是指因项目（课题）任务目标需要，对现有设备进行局部改造以改善提升性能而发生的费用，及项目（课题）实施过程中相关设备发生损坏需维修而发生的费用，一般由零部件、材料等成本和安装调试等费用构成。</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1.2.3因安装使用新增设备而对实验室进行小规模维修改造的费用，可在设备改造费中编列。</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1.3设备租赁费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1.3.1设备租赁费是指项目（课题）研究过程中需要租用承担单位以外其他单位的设备而发生的费用。租赁费主要包括设备的租金、安装调试费、维修保养费及其他相关费用等。</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1.3.2与项目（课题）研究任务相关的科学考察、野外实验勘探等车、船、航空器等交通工具的租赁费可在设备租赁费中编列。</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1.3.3不得编列承担单位自有仪器设备的租赁费用。</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2.业务费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业务费指在项目实施过程中消耗的各种材料、辅助材料等低值易耗品的采购、运输、装卸、整理等费用，发生的测试化验加工、燃料动力、出版/文献/信息传播/知识产权事务、会议/差旅/国际合作交流等费用，以及其他与项目实施直接相关的各项费用。</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2.1材料费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2.1.1材料费应与项目（课题）研究内容和研究目标相关。避免与试制设备费、测试化验加工费等支出交叉或重复列支。</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2.1.2中央财政资金原则上不支持生产性、基建性、大宗化工原料。</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2.1.3中央财政资金原则上不得列支普通办公耗材和通用耗材，如研究任务确实需要，应详细说明预算的理由，并控制预算数量。</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2.1.4材料采购过程中形成的运输、装卸、库保整理等费用不能单独编列。</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2.1.5承担单位向关联方单位采购材料应提供相关说明。</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2.1.6承担单位根据研究任务需要，领用自行生产的材料，应以材料成本价列支，不得以销售价列支。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2.2测试化验加工费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2.2.1测试化验加工应与项目（课题）研究内容和研究目标相关。</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2.2.2单次或累计费用在10万元（含）以上的测试化验加工项目，应详细说明其与项目（课题）研究任务的必要性，以及次数、价格等测算依据，应说明承接测试化验加工业务的外单位（包括承担单位内部独立经济核算单位）所具备的资质或相应能力。</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2.2.3应由承担单位完成的测试化验加工任务，不得以测试化验加工费的名义将任务外包、分包。</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snapToGrid/>
          <w:color w:val="auto"/>
          <w:sz w:val="28"/>
          <w:szCs w:val="28"/>
          <w:lang w:eastAsia="zh-CN"/>
        </w:rPr>
      </w:pPr>
      <w:r>
        <w:rPr>
          <w:rFonts w:hint="default" w:ascii="Times New Roman" w:hAnsi="Times New Roman" w:cs="Times New Roman"/>
          <w:snapToGrid/>
          <w:color w:val="auto"/>
          <w:sz w:val="28"/>
          <w:szCs w:val="28"/>
          <w:lang w:eastAsia="zh-CN"/>
        </w:rPr>
        <w:t>2.2.4与项目（课题）研究任务相关的软件测试、数据加工整理、大型计算机机时等费用可在本科目列支。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2.3燃料动力费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2.3.1燃料动力费应与项目（课题）研究内容和研究目标相关。不得与管理费中现有仪器设备及房屋、日常水、电、气、暖消耗费用等交叉或重复列支。</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2.3.2单价应经济合理，不得虚高。</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2.3.3野外科学考察发生的租用车（船）的燃油费在燃料动力费中列支。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snapToGrid/>
          <w:color w:val="auto"/>
          <w:sz w:val="28"/>
          <w:szCs w:val="28"/>
          <w:lang w:eastAsia="zh-CN"/>
        </w:rPr>
      </w:pPr>
      <w:r>
        <w:rPr>
          <w:rFonts w:hint="default" w:ascii="Times New Roman" w:hAnsi="Times New Roman" w:cs="Times New Roman"/>
          <w:snapToGrid/>
          <w:color w:val="auto"/>
          <w:sz w:val="28"/>
          <w:szCs w:val="28"/>
          <w:lang w:eastAsia="zh-CN"/>
        </w:rPr>
        <w:t>2.3.4燃料动力费原则上应单独计量，对于确实无法单独计量的，应确定量化分摊方式。</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2.4出版/文献/信息传播/知识产权事务费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2.4.1出版/文献/信息传播/知识产权事务费预算应与项目（课题）研究内容和研究目标相关。</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2.4.2与公允水平比较，大宗专业资料购置、软件购置、专利申请、论文和专著出版的数量、单价应经济合理，测算依据应充分，并与研究内容、研究成果相匹配。</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2.4.3专利申请及其他知识产权事务费用仅为完成本项目（课题）研究目标而申请专利的费用，以及该专利在项目（课题）实施周期内发生的维护费用，和办理其他知识产权事务发生的费用，如计算机软件著作权、集成电路布图设计权等。</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2.4.4原则上不得列支通用性操作系统、专业软件和办公软件等；委托外单位开发的软件系统，应说明必要性，严禁将本项目的主体研发任务委托开发。</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2.4.5原则上不得列支日常手机和办公固定电话的通信费、日常办公网络费和移动上网卡费用等；不得列支专利维护费、宣传费用、广告费用等。</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2.4.6严格控制大型软件的购置。若编列，应充分论证其相关性及合理性。</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2.5会议费</w:t>
      </w:r>
    </w:p>
    <w:p>
      <w:pPr>
        <w:keepNext w:val="0"/>
        <w:keepLines w:val="0"/>
        <w:pageBreakBefore w:val="0"/>
        <w:widowControl w:val="0"/>
        <w:wordWrap/>
        <w:overflowPunct/>
        <w:topLinePunct w:val="0"/>
        <w:bidi w:val="0"/>
        <w:snapToGrid/>
        <w:spacing w:before="0" w:beforeLines="0" w:beforeAutospacing="0" w:after="0" w:afterAutospacing="0" w:line="500" w:lineRule="exact"/>
        <w:ind w:firstLine="638" w:firstLineChars="228"/>
        <w:jc w:val="both"/>
        <w:rPr>
          <w:rFonts w:hint="default" w:ascii="Times New Roman" w:hAnsi="Times New Roman" w:eastAsia="宋体" w:cs="Times New Roman"/>
          <w:sz w:val="28"/>
          <w:szCs w:val="28"/>
        </w:rPr>
      </w:pPr>
      <w:r>
        <w:rPr>
          <w:rFonts w:hint="default" w:ascii="Times New Roman" w:hAnsi="Times New Roman" w:eastAsia="宋体" w:cs="Times New Roman"/>
          <w:color w:val="auto"/>
          <w:sz w:val="28"/>
          <w:szCs w:val="28"/>
        </w:rPr>
        <w:t>2.5.1会议应与项目（课题）研究内容和研究目标相关。</w:t>
      </w:r>
    </w:p>
    <w:p>
      <w:pPr>
        <w:keepNext w:val="0"/>
        <w:keepLines w:val="0"/>
        <w:pageBreakBefore w:val="0"/>
        <w:widowControl w:val="0"/>
        <w:wordWrap/>
        <w:overflowPunct/>
        <w:topLinePunct w:val="0"/>
        <w:bidi w:val="0"/>
        <w:snapToGrid/>
        <w:spacing w:before="0" w:beforeLines="0" w:beforeAutospacing="0" w:after="0" w:afterAutospacing="0" w:line="500" w:lineRule="exact"/>
        <w:ind w:firstLine="638" w:firstLineChars="228"/>
        <w:jc w:val="both"/>
        <w:rPr>
          <w:rFonts w:hint="default" w:ascii="Times New Roman" w:hAnsi="Times New Roman" w:eastAsia="宋体" w:cs="Times New Roman"/>
          <w:sz w:val="28"/>
          <w:szCs w:val="28"/>
        </w:rPr>
      </w:pPr>
      <w:r>
        <w:rPr>
          <w:rFonts w:hint="default" w:ascii="Times New Roman" w:hAnsi="Times New Roman" w:eastAsia="宋体" w:cs="Times New Roman"/>
          <w:color w:val="auto"/>
          <w:sz w:val="28"/>
          <w:szCs w:val="28"/>
        </w:rPr>
        <w:t>2.5.2会议费支出范围和支出标准符合相关管理办法。严控会议数量、会议规模，应与研究内容相匹配。</w:t>
      </w:r>
    </w:p>
    <w:p>
      <w:pPr>
        <w:keepNext w:val="0"/>
        <w:keepLines w:val="0"/>
        <w:pageBreakBefore w:val="0"/>
        <w:widowControl w:val="0"/>
        <w:wordWrap/>
        <w:overflowPunct/>
        <w:topLinePunct w:val="0"/>
        <w:bidi w:val="0"/>
        <w:snapToGrid/>
        <w:spacing w:before="0" w:beforeLines="0" w:beforeAutospacing="0" w:after="0" w:afterAutospacing="0" w:line="500" w:lineRule="exact"/>
        <w:ind w:firstLine="638" w:firstLineChars="228"/>
        <w:jc w:val="both"/>
        <w:rPr>
          <w:rFonts w:hint="default" w:ascii="Times New Roman" w:hAnsi="Times New Roman" w:eastAsia="宋体" w:cs="Times New Roman"/>
          <w:sz w:val="28"/>
          <w:szCs w:val="28"/>
        </w:rPr>
      </w:pPr>
      <w:r>
        <w:rPr>
          <w:rFonts w:hint="default" w:ascii="Times New Roman" w:hAnsi="Times New Roman" w:eastAsia="宋体" w:cs="Times New Roman"/>
          <w:color w:val="auto"/>
          <w:sz w:val="28"/>
          <w:szCs w:val="28"/>
        </w:rPr>
        <w:t>2.5.3会议费与差旅费预算支出不得存在交叉重复。</w:t>
      </w:r>
    </w:p>
    <w:p>
      <w:pPr>
        <w:keepNext w:val="0"/>
        <w:keepLines w:val="0"/>
        <w:pageBreakBefore w:val="0"/>
        <w:widowControl w:val="0"/>
        <w:wordWrap/>
        <w:overflowPunct/>
        <w:topLinePunct w:val="0"/>
        <w:bidi w:val="0"/>
        <w:snapToGrid/>
        <w:spacing w:before="0" w:beforeLines="0" w:beforeAutospacing="0" w:after="0" w:afterAutospacing="0" w:line="500" w:lineRule="exact"/>
        <w:ind w:firstLine="638" w:firstLineChars="228"/>
        <w:jc w:val="both"/>
        <w:rPr>
          <w:rFonts w:hint="default" w:ascii="Times New Roman" w:hAnsi="Times New Roman" w:cs="Times New Roman"/>
          <w:snapToGrid/>
          <w:sz w:val="28"/>
          <w:szCs w:val="28"/>
          <w:lang w:eastAsia="zh-CN"/>
        </w:rPr>
      </w:pPr>
      <w:r>
        <w:rPr>
          <w:rFonts w:hint="default" w:ascii="Times New Roman" w:hAnsi="Times New Roman" w:cs="Times New Roman"/>
          <w:snapToGrid/>
          <w:color w:val="auto"/>
          <w:sz w:val="28"/>
          <w:szCs w:val="28"/>
          <w:lang w:eastAsia="zh-CN"/>
        </w:rPr>
        <w:t>2.5.4其他来源资金中列支会议费、差旅费、国际合作费，应按照承担单位有关标准执行，在申请预算时单独列支，如承担单位未制订标准，则参考中央财政资金标准执行。</w:t>
      </w:r>
    </w:p>
    <w:p>
      <w:pPr>
        <w:keepNext w:val="0"/>
        <w:keepLines w:val="0"/>
        <w:pageBreakBefore w:val="0"/>
        <w:widowControl w:val="0"/>
        <w:wordWrap/>
        <w:overflowPunct/>
        <w:topLinePunct w:val="0"/>
        <w:bidi w:val="0"/>
        <w:snapToGrid/>
        <w:spacing w:before="0" w:beforeLines="0" w:beforeAutospacing="0" w:after="0" w:afterAutospacing="0" w:line="500" w:lineRule="exact"/>
        <w:ind w:firstLine="638" w:firstLineChars="228"/>
        <w:jc w:val="both"/>
        <w:rPr>
          <w:rFonts w:hint="default" w:ascii="Times New Roman" w:hAnsi="Times New Roman" w:eastAsia="宋体" w:cs="Times New Roman"/>
          <w:color w:val="auto"/>
          <w:spacing w:val="0"/>
          <w:kern w:val="2"/>
          <w:sz w:val="28"/>
          <w:szCs w:val="28"/>
          <w14:ligatures w14:val="none"/>
        </w:rPr>
      </w:pPr>
      <w:r>
        <w:rPr>
          <w:rFonts w:hint="default" w:ascii="Times New Roman" w:hAnsi="Times New Roman" w:eastAsia="宋体" w:cs="Times New Roman"/>
          <w:color w:val="auto"/>
          <w:spacing w:val="0"/>
          <w:kern w:val="2"/>
          <w:sz w:val="28"/>
          <w:szCs w:val="28"/>
          <w14:ligatures w14:val="none"/>
        </w:rPr>
        <w:t>2.5.5不得列支一般性学术会议费，严禁支出招待费、礼品费、旅游费用、景点门票等不合规支出。</w:t>
      </w:r>
    </w:p>
    <w:p>
      <w:pPr>
        <w:keepNext w:val="0"/>
        <w:keepLines w:val="0"/>
        <w:pageBreakBefore w:val="0"/>
        <w:widowControl w:val="0"/>
        <w:wordWrap/>
        <w:overflowPunct/>
        <w:topLinePunct w:val="0"/>
        <w:bidi w:val="0"/>
        <w:snapToGrid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2.6差旅费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2.6.1科学实验（试验）、考察的内容、地点应与项目（课题）研究内容和研究目标相关。</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2.6.2普通差旅费支出范围和标准应符合有关管理规定。中央财政资金列支差旅费标准可参考财政部有关标准，一般每人每天住宿费不应超过500元，伙食费每人每天100元，市内交通费每人每天80元。</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2.6.3普通差旅费预算与会议费预算支出不得交叉重复。</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2.7国际合作与交流费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2.7.1出国与聘请外国专家来华工作应与项目（课题）研究内容和研究目标相关。</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2.7.2国际合作与交流费所占比例符合同类项目（课题）特点，不得比例过高。国际合作与交流费预算支出依据充分，出国频次及人数合理。</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2.7.3国际合作与交流费开支标准符合相关政策规定。中央财政资金列支有关标准应参考财政部有关临时出国经费价格标准。</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2.8其他相关支出</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2.8.1其他相关支出应当在申请预算中详细说明并单独列示，单独核定。</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2.8.2其他相关支出应与项目（课题）研究内容和研究目标相关。可列支结题财务审计费用，不得列支财务咨询费，不得列支基本建设费，不得与其他科目重复列支。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2.9项目人员成本费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2.9.1其他来源资金中可以列支项目人员成本费。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2.9.2项目人员成本费是指项目实施过程中，承担单位参与项目实施的无财政性收入的固定研究人员、管理人员的成本费可在业务费列支，包括基本工资、津贴补贴、加班工资、社会保险补助、公积金、年金以及其他相关职工薪酬。</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2.9.3项目人员成本费应符合承担单位薪酬管理规定，根据项目组成员参与项目的全时工作时间、在项目研究中承担的工作任务等确定，不得在不同的项目、科目中重复列支。承担单位有财政性收入的固定人员及双聘科研人员的成本费不得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2.10基本建设费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2.10.1其他来源资金中可以列支基本建设费。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2.10.2基本建设费是指因项目任务目标需要必须发生的房屋建筑物构建、专用设备购置等基本建设支出，可在业务费中列支。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2.10.3基本建设费应当单独列示，并参照基本建设财务制度执行，需说明实施的必要性等。其中，已在设备费中列支的设备费不得在业务费、间接费用等其科目重复列支。</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outlineLvl w:val="9"/>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3.劳务费</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劳务费是指在项目实施过程中支付给参与项目的研究生、博士后、访问学者和项目聘用的研究人员、科研辅助人员等的劳务性费用，以及支付给临时聘请的咨询专家的费用等。</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b w:val="0"/>
          <w:bCs w:val="0"/>
          <w:color w:val="auto"/>
          <w:sz w:val="28"/>
          <w:szCs w:val="28"/>
          <w:lang w:eastAsia="zh-CN"/>
        </w:rPr>
      </w:pPr>
      <w:r>
        <w:rPr>
          <w:rFonts w:hint="default" w:ascii="Times New Roman" w:hAnsi="Times New Roman" w:cs="Times New Roman"/>
          <w:b w:val="0"/>
          <w:bCs w:val="0"/>
          <w:color w:val="auto"/>
          <w:sz w:val="28"/>
          <w:szCs w:val="28"/>
          <w:lang w:eastAsia="zh-CN"/>
        </w:rPr>
        <w:t>3.1专家咨询以外的劳务费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3.1.1劳务费预算不设比例限制，应与科研人员以及相关人员参与项目（课题）的全时工作时间、承担的任务等因素相匹配。</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3.1.2参与项目（课题）的各类人员（尤其是在校研究生和临时聘用人员）投入项目（课题）时间应合理。研究生和临时聘用人员投入人月数占总投入人月数比例应合理。劳务费测算应基于投入时长和费用标准得出，同一单位的劳务费应执行相同的标准。</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3.1.3 项目聘用人员劳务费按标准列支，标准参照当地科学研究和技术服务业从业人员平均工资水平，根据其在项目研究中承担的工作任务确定，由单位加纳的社会保险补助、住房公积金等按标准纳入劳务费科目支出。</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3.1.4劳务费预算支出结构符合同领域的平均水平，支出比例合理。</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3.1.5不得列支在读研究生培训费、博士后进站费和房租补助、奖学金等。</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3.1.6劳务费价格参考标准：在读硕士1200-3000元/月、博士1800-5000元/月。科研助理6000-12000元/月，聘用科研人员8000-20000元/月，单位负担公积金参考比例为12%，单位负担社保费（含养老保险、医疗保险、失业保险、工伤保险、生育保险）参考比例为30%左右。</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3.2专家</w:t>
      </w:r>
      <w:r>
        <w:rPr>
          <w:rFonts w:hint="default" w:ascii="Times New Roman" w:hAnsi="Times New Roman" w:cs="Times New Roman"/>
          <w:b w:val="0"/>
          <w:bCs w:val="0"/>
          <w:color w:val="auto"/>
          <w:sz w:val="28"/>
          <w:szCs w:val="28"/>
          <w:lang w:eastAsia="zh-Hans"/>
        </w:rPr>
        <w:t>咨询</w:t>
      </w:r>
      <w:r>
        <w:rPr>
          <w:rFonts w:hint="default" w:ascii="Times New Roman" w:hAnsi="Times New Roman" w:cs="Times New Roman"/>
          <w:b w:val="0"/>
          <w:bCs w:val="0"/>
          <w:color w:val="auto"/>
          <w:sz w:val="28"/>
          <w:szCs w:val="28"/>
        </w:rPr>
        <w:t>费</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3.2.1咨询专家应与项目（课题）研究内容和研究目标相关。咨询专家次数、时间、人数合理。支出规模、结构等合理，符合同领域的平均水平。</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3.2.2 专家咨询费不得支付给参与项目（课题）研究（研发）及其管理的相关工作人员。</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3.2.3专家咨询费预算支出标准合理，专家咨询费支出标准一般不得超过国家相关规定。同一单位的专家咨询费用应执行相同的标准。</w:t>
      </w:r>
    </w:p>
    <w:p>
      <w:pPr>
        <w:keepNext w:val="0"/>
        <w:keepLines w:val="0"/>
        <w:pageBreakBefore w:val="0"/>
        <w:widowControl w:val="0"/>
        <w:wordWrap/>
        <w:overflowPunct/>
        <w:topLinePunct w:val="0"/>
        <w:bidi w:val="0"/>
        <w:spacing w:before="0" w:beforeLines="0" w:beforeAutospacing="0" w:after="0" w:afterAutospacing="0" w:line="500" w:lineRule="exact"/>
        <w:ind w:firstLine="560" w:firstLineChars="200"/>
        <w:rPr>
          <w:rFonts w:hint="default" w:ascii="Times New Roman" w:hAnsi="Times New Roman" w:eastAsia="宋体"/>
          <w:b w:val="0"/>
          <w:bCs w:val="0"/>
          <w:color w:val="auto"/>
          <w:sz w:val="28"/>
          <w:szCs w:val="28"/>
        </w:rPr>
      </w:pPr>
      <w:r>
        <w:rPr>
          <w:rFonts w:hint="default" w:ascii="Times New Roman" w:hAnsi="Times New Roman" w:eastAsia="宋体"/>
          <w:b w:val="0"/>
          <w:bCs w:val="0"/>
          <w:color w:val="auto"/>
          <w:sz w:val="28"/>
          <w:szCs w:val="28"/>
        </w:rPr>
        <w:t>4.间接费用</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4.1承担单位不得在间接费用以外，再以任何名义在项目资金中重复提取、列支相关费用。不得在不同项目（课题）中重复列支。</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4.2课题由多个参与单位的，间接费用在总额范围内由各单位协商分配。承担单位可将间接经费全部用于绩效支出。</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4.3间接费用实行项目总额控制，按照不超过课题直接费用扣除设备购置费后的一定比例核定。具体比例如下：</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（1）500万元及以下部分为30%;</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（2）500万元至1000万元（含）的部分为25%;</w:t>
      </w:r>
    </w:p>
    <w:p>
      <w:pPr>
        <w:keepNext w:val="0"/>
        <w:keepLines w:val="0"/>
        <w:pageBreakBefore w:val="0"/>
        <w:widowControl w:val="0"/>
        <w:wordWrap/>
        <w:overflowPunct/>
        <w:topLinePunct w:val="0"/>
        <w:bidi w:val="0"/>
        <w:spacing w:before="0" w:beforeLines="0" w:beforeAutospacing="0" w:after="0" w:afterAutospacing="0" w:line="500" w:lineRule="exact"/>
        <w:ind w:left="0" w:leftChars="0" w:firstLine="560" w:firstLineChars="200"/>
        <w:rPr>
          <w:rFonts w:hint="default" w:ascii="Times New Roman" w:hAnsi="Times New Roman" w:eastAsia="宋体"/>
          <w:color w:val="auto"/>
          <w:sz w:val="28"/>
          <w:szCs w:val="28"/>
        </w:rPr>
      </w:pPr>
      <w:r>
        <w:rPr>
          <w:rFonts w:hint="default" w:ascii="Times New Roman" w:hAnsi="Times New Roman" w:eastAsia="宋体"/>
          <w:color w:val="auto"/>
          <w:sz w:val="28"/>
          <w:szCs w:val="28"/>
        </w:rPr>
        <w:t>（3）1000万元以上的部分为20%。</w:t>
      </w:r>
    </w:p>
    <w:p>
      <w:pPr>
        <w:spacing w:after="0" w:line="600" w:lineRule="exact"/>
        <w:ind w:firstLine="642" w:firstLineChars="200"/>
        <w:rPr>
          <w:rFonts w:hint="default" w:ascii="Times New Roman" w:hAnsi="Times New Roman" w:eastAsia="宋体"/>
          <w:b/>
          <w:bCs/>
          <w:color w:val="auto"/>
          <w:sz w:val="32"/>
          <w:szCs w:val="32"/>
        </w:rPr>
      </w:pPr>
      <w:r>
        <w:rPr>
          <w:rFonts w:hint="default" w:ascii="Times New Roman" w:hAnsi="Times New Roman" w:eastAsia="宋体"/>
          <w:b/>
          <w:bCs/>
          <w:color w:val="auto"/>
          <w:sz w:val="32"/>
          <w:szCs w:val="32"/>
        </w:rPr>
        <w:t>三、中央财政资金预算编制负面清单</w:t>
      </w:r>
    </w:p>
    <w:tbl>
      <w:tblPr>
        <w:tblStyle w:val="21"/>
        <w:tblW w:w="935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1276"/>
        <w:gridCol w:w="7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0" w:hRule="atLeast"/>
          <w:tblHeader/>
        </w:trPr>
        <w:tc>
          <w:tcPr>
            <w:tcW w:w="851" w:type="dxa"/>
          </w:tcPr>
          <w:p>
            <w:pPr>
              <w:spacing w:after="0" w:line="240" w:lineRule="auto"/>
              <w:jc w:val="center"/>
              <w:rPr>
                <w:rFonts w:hint="eastAsia" w:ascii="黑体" w:hAnsi="黑体" w:eastAsia="黑体" w:cs="黑体"/>
                <w:color w:val="auto"/>
                <w:kern w:val="2"/>
                <w:sz w:val="28"/>
                <w:szCs w:val="28"/>
              </w:rPr>
            </w:pPr>
            <w:r>
              <w:rPr>
                <w:rFonts w:hint="eastAsia" w:ascii="黑体" w:hAnsi="黑体" w:eastAsia="黑体" w:cs="黑体"/>
                <w:color w:val="auto"/>
                <w:kern w:val="2"/>
                <w:sz w:val="28"/>
                <w:szCs w:val="28"/>
              </w:rPr>
              <w:t>分类</w:t>
            </w:r>
          </w:p>
        </w:tc>
        <w:tc>
          <w:tcPr>
            <w:tcW w:w="1276" w:type="dxa"/>
          </w:tcPr>
          <w:p>
            <w:pPr>
              <w:spacing w:after="0" w:line="240" w:lineRule="auto"/>
              <w:jc w:val="center"/>
              <w:rPr>
                <w:rFonts w:hint="eastAsia" w:ascii="黑体" w:hAnsi="黑体" w:eastAsia="黑体" w:cs="黑体"/>
                <w:color w:val="auto"/>
                <w:kern w:val="2"/>
                <w:sz w:val="28"/>
                <w:szCs w:val="28"/>
              </w:rPr>
            </w:pPr>
            <w:r>
              <w:rPr>
                <w:rFonts w:hint="eastAsia" w:ascii="黑体" w:hAnsi="黑体" w:eastAsia="黑体" w:cs="黑体"/>
                <w:color w:val="auto"/>
                <w:kern w:val="2"/>
                <w:sz w:val="28"/>
                <w:szCs w:val="28"/>
              </w:rPr>
              <w:t>科目</w:t>
            </w:r>
          </w:p>
        </w:tc>
        <w:tc>
          <w:tcPr>
            <w:tcW w:w="7229" w:type="dxa"/>
          </w:tcPr>
          <w:p>
            <w:pPr>
              <w:spacing w:after="0" w:line="240" w:lineRule="auto"/>
              <w:jc w:val="center"/>
              <w:rPr>
                <w:rFonts w:hint="eastAsia" w:ascii="黑体" w:hAnsi="黑体" w:eastAsia="黑体" w:cs="黑体"/>
                <w:color w:val="auto"/>
                <w:kern w:val="2"/>
                <w:sz w:val="28"/>
                <w:szCs w:val="28"/>
              </w:rPr>
            </w:pPr>
            <w:r>
              <w:rPr>
                <w:rFonts w:hint="eastAsia" w:ascii="黑体" w:hAnsi="黑体" w:eastAsia="黑体" w:cs="黑体"/>
                <w:color w:val="auto"/>
                <w:kern w:val="2"/>
                <w:sz w:val="28"/>
                <w:szCs w:val="28"/>
              </w:rPr>
              <w:t>负面清单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0" w:hRule="atLeast"/>
        </w:trPr>
        <w:tc>
          <w:tcPr>
            <w:tcW w:w="851" w:type="dxa"/>
            <w:vMerge w:val="restart"/>
            <w:vAlign w:val="center"/>
          </w:tcPr>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直接</w:t>
            </w:r>
          </w:p>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费用</w:t>
            </w:r>
          </w:p>
        </w:tc>
        <w:tc>
          <w:tcPr>
            <w:tcW w:w="1276" w:type="dxa"/>
            <w:vAlign w:val="center"/>
          </w:tcPr>
          <w:p>
            <w:pPr>
              <w:adjustRightInd/>
              <w:snapToGrid/>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设备费</w:t>
            </w:r>
          </w:p>
        </w:tc>
        <w:tc>
          <w:tcPr>
            <w:tcW w:w="7229" w:type="dxa"/>
            <w:vAlign w:val="center"/>
          </w:tcPr>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1.不得列支常规或通用设备的购置，如日常办公电脑等；</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2.不得列支承担单位自有仪器设备的租赁费用；</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3.不得列支生产性设备的购置费、基建设施的建造费、实验室的常规维修改造费以及属于承担单位支撑条件的专用仪器设备购置费；</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4.不得列支与项目（课题）目标任务无直接相关性的设备费支出。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0" w:hRule="atLeast"/>
        </w:trPr>
        <w:tc>
          <w:tcPr>
            <w:tcW w:w="851" w:type="dxa"/>
            <w:vMerge w:val="continue"/>
            <w:vAlign w:val="center"/>
          </w:tcPr>
          <w:p>
            <w:pPr>
              <w:spacing w:after="0" w:line="500" w:lineRule="exact"/>
              <w:jc w:val="center"/>
              <w:rPr>
                <w:rFonts w:hint="default" w:ascii="Times New Roman" w:hAnsi="Times New Roman" w:eastAsia="宋体" w:cs="Times New Roman"/>
                <w:color w:val="auto"/>
                <w:kern w:val="2"/>
                <w:sz w:val="24"/>
                <w:szCs w:val="24"/>
              </w:rPr>
            </w:pPr>
          </w:p>
        </w:tc>
        <w:tc>
          <w:tcPr>
            <w:tcW w:w="1276" w:type="dxa"/>
            <w:vAlign w:val="center"/>
          </w:tcPr>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业务费</w:t>
            </w:r>
          </w:p>
        </w:tc>
        <w:tc>
          <w:tcPr>
            <w:tcW w:w="7229" w:type="dxa"/>
            <w:vAlign w:val="center"/>
          </w:tcPr>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1.不得列支用于生产经营和基本建设的材料，不得与试制设备费中的材料重复列支；</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2.不得以测试化验加工费的名义分包应由承担单位完成的研究任务；</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3.不得列支承担单位的日常水、电、气、暖消费等费用；</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4.不得列支通用性操作系统、办公软件等非专用软件的购置费、日常手机和办公固定电话的通讯费、日常办公网络费和电话充值卡费用、非本项目（课题）形成的专利维护费或超出课题实施周期的专利维护费用；</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5.不得列支财务咨询业务发生的费用；</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6.不得列支与项目（课题）目标任务无直接相关性的业务费。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0" w:hRule="atLeast"/>
        </w:trPr>
        <w:tc>
          <w:tcPr>
            <w:tcW w:w="851" w:type="dxa"/>
            <w:vMerge w:val="continue"/>
            <w:vAlign w:val="center"/>
          </w:tcPr>
          <w:p>
            <w:pPr>
              <w:spacing w:after="0" w:line="500" w:lineRule="exact"/>
              <w:jc w:val="center"/>
              <w:rPr>
                <w:rFonts w:hint="default" w:ascii="Times New Roman" w:hAnsi="Times New Roman" w:eastAsia="宋体" w:cs="Times New Roman"/>
                <w:color w:val="auto"/>
                <w:kern w:val="2"/>
                <w:sz w:val="24"/>
                <w:szCs w:val="24"/>
              </w:rPr>
            </w:pPr>
          </w:p>
        </w:tc>
        <w:tc>
          <w:tcPr>
            <w:tcW w:w="1276" w:type="dxa"/>
            <w:vAlign w:val="center"/>
          </w:tcPr>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劳务费</w:t>
            </w:r>
          </w:p>
        </w:tc>
        <w:tc>
          <w:tcPr>
            <w:tcW w:w="7229" w:type="dxa"/>
            <w:vAlign w:val="center"/>
          </w:tcPr>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1.不得列支课题组成员以访问学者名义编列的劳务费；</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2.不得列支事业单位在编人员工资性支出、补贴支出；</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3.不得列支企业除为项目(课题）实施专门聘用的人员以外人员的工资性支出、补贴支出；</w:t>
            </w:r>
          </w:p>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4.不得列支与项目（课题）任务目标无直接相关性的劳务费支出。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0" w:hRule="atLeast"/>
        </w:trPr>
        <w:tc>
          <w:tcPr>
            <w:tcW w:w="851" w:type="dxa"/>
            <w:vAlign w:val="center"/>
          </w:tcPr>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间接</w:t>
            </w:r>
          </w:p>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费用</w:t>
            </w:r>
          </w:p>
        </w:tc>
        <w:tc>
          <w:tcPr>
            <w:tcW w:w="1276" w:type="dxa"/>
            <w:vAlign w:val="center"/>
          </w:tcPr>
          <w:p>
            <w:pPr>
              <w:spacing w:after="0" w:line="500" w:lineRule="exact"/>
              <w:jc w:val="center"/>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间接费用</w:t>
            </w:r>
          </w:p>
        </w:tc>
        <w:tc>
          <w:tcPr>
            <w:tcW w:w="7229" w:type="dxa"/>
            <w:vAlign w:val="center"/>
          </w:tcPr>
          <w:p>
            <w:pPr>
              <w:keepNext w:val="0"/>
              <w:keepLines w:val="0"/>
              <w:pageBreakBefore w:val="0"/>
              <w:widowControl w:val="0"/>
              <w:kinsoku/>
              <w:wordWrap/>
              <w:overflowPunct/>
              <w:topLinePunct w:val="0"/>
              <w:autoSpaceDE/>
              <w:autoSpaceDN/>
              <w:bidi w:val="0"/>
              <w:adjustRightInd/>
              <w:snapToGrid/>
              <w:spacing w:after="0" w:line="500" w:lineRule="exact"/>
              <w:jc w:val="both"/>
              <w:textAlignment w:val="auto"/>
              <w:outlineLvl w:val="9"/>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rPr>
              <w:t>不得在核定的间接费用以外再以任务名义在课题经费中重复提取、列支相关费用。</w:t>
            </w:r>
          </w:p>
        </w:tc>
      </w:tr>
    </w:tbl>
    <w:p>
      <w:pPr>
        <w:spacing w:after="0" w:line="240" w:lineRule="auto"/>
        <w:rPr>
          <w:rFonts w:hint="default"/>
          <w:color w:val="auto"/>
        </w:rPr>
      </w:pPr>
    </w:p>
    <w:p>
      <w:pPr>
        <w:spacing w:after="0" w:line="240" w:lineRule="auto"/>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panose1 w:val="020F0502020204030204"/>
    <w:charset w:val="00"/>
    <w:family w:val="swiss"/>
    <w:pitch w:val="default"/>
    <w:sig w:usb0="E10002FF" w:usb1="4000ACFF" w:usb2="00000009" w:usb3="00000000" w:csb0="2000019F" w:csb1="00000000"/>
  </w:font>
  <w:font w:name="Cambria">
    <w:altName w:val="FreeSerif"/>
    <w:panose1 w:val="02040503050406030204"/>
    <w:charset w:val="00"/>
    <w:family w:val="roman"/>
    <w:pitch w:val="default"/>
    <w:sig w:usb0="00000000" w:usb1="00000000" w:usb2="02000000" w:usb3="00000000" w:csb0="0000019F" w:csb1="00000000"/>
  </w:font>
  <w:font w:name="Arial">
    <w:panose1 w:val="020B0604020202020204"/>
    <w:charset w:val="00"/>
    <w:family w:val="swiss"/>
    <w:pitch w:val="default"/>
    <w:sig w:usb0="E0002AFF" w:usb1="C0007843" w:usb2="00000009" w:usb3="00000000" w:csb0="400001FF" w:csb1="FFFF0000"/>
  </w:font>
  <w:font w:name="Courier New">
    <w:altName w:val="DejaVu Sans"/>
    <w:panose1 w:val="02070309020205020404"/>
    <w:charset w:val="00"/>
    <w:family w:val="moder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Ubuntu">
    <w:panose1 w:val="020B0604030602030204"/>
    <w:charset w:val="00"/>
    <w:family w:val="auto"/>
    <w:pitch w:val="default"/>
    <w:sig w:usb0="E00002FF" w:usb1="5000205B" w:usb2="00000000" w:usb3="00000000" w:csb0="2000009F" w:csb1="56010000"/>
  </w:font>
  <w:font w:name="Tahoma">
    <w:altName w:val="仿宋"/>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307"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zSVju0AAA&#10;AAUBAAAPAAAAAAAAAAEAIAAAADgAAABkcnMvZG93bnJldi54bWxQSwECFAAUAAAACACHTuJA6CPj&#10;HRACAAAHBAAADgAAAAAAAAABACAAAAA1AQAAZHJzL2Uyb0RvYy54bWxQSwUGAAAAAAYABgBZAQAA&#10;twUAAAAA&#10;">
              <v:fill on="f" focussize="0,0"/>
              <v:stroke on="f" weight="0.5pt"/>
              <v:imagedata o:title=""/>
              <o:lock v:ext="edit" aspectratio="f"/>
              <v:textbox inset="0mm,0mm,0mm,0mm" style="mso-fit-shape-to-text:t;">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60"/>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xYjM4NjAyMDhjNGI0ZjU3ZTNhNWIzZTkzNjBmOGQifQ=="/>
  </w:docVars>
  <w:rsids>
    <w:rsidRoot w:val="00172A27"/>
    <w:rsid w:val="00006AAA"/>
    <w:rsid w:val="00010E9F"/>
    <w:rsid w:val="00014D8C"/>
    <w:rsid w:val="00056A8A"/>
    <w:rsid w:val="00067BDB"/>
    <w:rsid w:val="00073DF5"/>
    <w:rsid w:val="00087C6D"/>
    <w:rsid w:val="000B72A7"/>
    <w:rsid w:val="000C113B"/>
    <w:rsid w:val="000C5667"/>
    <w:rsid w:val="000D3234"/>
    <w:rsid w:val="000D6272"/>
    <w:rsid w:val="000D6631"/>
    <w:rsid w:val="000E6680"/>
    <w:rsid w:val="000F0F98"/>
    <w:rsid w:val="000F20FC"/>
    <w:rsid w:val="000F5F37"/>
    <w:rsid w:val="00102644"/>
    <w:rsid w:val="00122C45"/>
    <w:rsid w:val="00124730"/>
    <w:rsid w:val="00127EC0"/>
    <w:rsid w:val="00134C40"/>
    <w:rsid w:val="001368FE"/>
    <w:rsid w:val="001545DA"/>
    <w:rsid w:val="001551DB"/>
    <w:rsid w:val="00170AF7"/>
    <w:rsid w:val="00170B2C"/>
    <w:rsid w:val="00172A27"/>
    <w:rsid w:val="00187ED3"/>
    <w:rsid w:val="001B16B5"/>
    <w:rsid w:val="001B2227"/>
    <w:rsid w:val="001B48B2"/>
    <w:rsid w:val="001B6236"/>
    <w:rsid w:val="001C3475"/>
    <w:rsid w:val="001D54ED"/>
    <w:rsid w:val="001E1804"/>
    <w:rsid w:val="001E287A"/>
    <w:rsid w:val="001F50D4"/>
    <w:rsid w:val="001F7852"/>
    <w:rsid w:val="001F795B"/>
    <w:rsid w:val="00200571"/>
    <w:rsid w:val="00241449"/>
    <w:rsid w:val="002428A5"/>
    <w:rsid w:val="0024376E"/>
    <w:rsid w:val="00251429"/>
    <w:rsid w:val="00272A12"/>
    <w:rsid w:val="002954C0"/>
    <w:rsid w:val="002961A6"/>
    <w:rsid w:val="002A49EC"/>
    <w:rsid w:val="002B0E94"/>
    <w:rsid w:val="002B4341"/>
    <w:rsid w:val="002C1271"/>
    <w:rsid w:val="002C5CB9"/>
    <w:rsid w:val="002F2996"/>
    <w:rsid w:val="002F7F18"/>
    <w:rsid w:val="003147C4"/>
    <w:rsid w:val="003218D7"/>
    <w:rsid w:val="00330127"/>
    <w:rsid w:val="00344FC1"/>
    <w:rsid w:val="0034748C"/>
    <w:rsid w:val="00355167"/>
    <w:rsid w:val="00362553"/>
    <w:rsid w:val="003706FB"/>
    <w:rsid w:val="00381FD2"/>
    <w:rsid w:val="00385EB3"/>
    <w:rsid w:val="00394349"/>
    <w:rsid w:val="003A1556"/>
    <w:rsid w:val="003C1951"/>
    <w:rsid w:val="003C3A2A"/>
    <w:rsid w:val="003D2CD0"/>
    <w:rsid w:val="0044138C"/>
    <w:rsid w:val="00444C90"/>
    <w:rsid w:val="00450096"/>
    <w:rsid w:val="00454C6B"/>
    <w:rsid w:val="00455E76"/>
    <w:rsid w:val="00457EF4"/>
    <w:rsid w:val="004769E5"/>
    <w:rsid w:val="00477C85"/>
    <w:rsid w:val="00486C65"/>
    <w:rsid w:val="00495303"/>
    <w:rsid w:val="004B4844"/>
    <w:rsid w:val="004D3E02"/>
    <w:rsid w:val="004E1B49"/>
    <w:rsid w:val="004E4476"/>
    <w:rsid w:val="00500B18"/>
    <w:rsid w:val="00516AD2"/>
    <w:rsid w:val="00522FD9"/>
    <w:rsid w:val="00533108"/>
    <w:rsid w:val="00555EF3"/>
    <w:rsid w:val="00562842"/>
    <w:rsid w:val="00582F0C"/>
    <w:rsid w:val="005B7299"/>
    <w:rsid w:val="005E7589"/>
    <w:rsid w:val="005E75DD"/>
    <w:rsid w:val="00603DF5"/>
    <w:rsid w:val="00604B3F"/>
    <w:rsid w:val="00607E5B"/>
    <w:rsid w:val="00621FCE"/>
    <w:rsid w:val="0063569E"/>
    <w:rsid w:val="00641276"/>
    <w:rsid w:val="00653759"/>
    <w:rsid w:val="00657E20"/>
    <w:rsid w:val="00665B71"/>
    <w:rsid w:val="00671E1D"/>
    <w:rsid w:val="006735A3"/>
    <w:rsid w:val="006A24C7"/>
    <w:rsid w:val="006B117D"/>
    <w:rsid w:val="006C3FEE"/>
    <w:rsid w:val="006C6F8B"/>
    <w:rsid w:val="006D690B"/>
    <w:rsid w:val="006E43F5"/>
    <w:rsid w:val="006F1B60"/>
    <w:rsid w:val="007045C3"/>
    <w:rsid w:val="00705E6A"/>
    <w:rsid w:val="00714D5B"/>
    <w:rsid w:val="007358B4"/>
    <w:rsid w:val="00736513"/>
    <w:rsid w:val="007476BB"/>
    <w:rsid w:val="00757DF6"/>
    <w:rsid w:val="007610CE"/>
    <w:rsid w:val="0076419B"/>
    <w:rsid w:val="0077368F"/>
    <w:rsid w:val="00773D96"/>
    <w:rsid w:val="00782161"/>
    <w:rsid w:val="0078717C"/>
    <w:rsid w:val="007977A3"/>
    <w:rsid w:val="007A31B7"/>
    <w:rsid w:val="007C0319"/>
    <w:rsid w:val="007C62EC"/>
    <w:rsid w:val="007D2D64"/>
    <w:rsid w:val="007D52C2"/>
    <w:rsid w:val="007F716A"/>
    <w:rsid w:val="00800553"/>
    <w:rsid w:val="00815906"/>
    <w:rsid w:val="00824D31"/>
    <w:rsid w:val="0083589D"/>
    <w:rsid w:val="00863BBF"/>
    <w:rsid w:val="0086665C"/>
    <w:rsid w:val="00887411"/>
    <w:rsid w:val="00891051"/>
    <w:rsid w:val="0089170F"/>
    <w:rsid w:val="0089262D"/>
    <w:rsid w:val="00893FF5"/>
    <w:rsid w:val="008A5924"/>
    <w:rsid w:val="008B2FDC"/>
    <w:rsid w:val="008B79FC"/>
    <w:rsid w:val="008C6B89"/>
    <w:rsid w:val="008D0BA3"/>
    <w:rsid w:val="008E0B87"/>
    <w:rsid w:val="008E20BE"/>
    <w:rsid w:val="008E2674"/>
    <w:rsid w:val="008E49A7"/>
    <w:rsid w:val="008F611A"/>
    <w:rsid w:val="00901A76"/>
    <w:rsid w:val="00907FF7"/>
    <w:rsid w:val="0091129C"/>
    <w:rsid w:val="00913FD9"/>
    <w:rsid w:val="00937F6A"/>
    <w:rsid w:val="00941B99"/>
    <w:rsid w:val="00945DE2"/>
    <w:rsid w:val="009463C0"/>
    <w:rsid w:val="00946AAF"/>
    <w:rsid w:val="00950645"/>
    <w:rsid w:val="00953BFE"/>
    <w:rsid w:val="009638CF"/>
    <w:rsid w:val="00987F9A"/>
    <w:rsid w:val="009B327F"/>
    <w:rsid w:val="009B462D"/>
    <w:rsid w:val="009E5C59"/>
    <w:rsid w:val="009F24A3"/>
    <w:rsid w:val="009F7D3A"/>
    <w:rsid w:val="00A23825"/>
    <w:rsid w:val="00A25F00"/>
    <w:rsid w:val="00A37CD4"/>
    <w:rsid w:val="00A45BD0"/>
    <w:rsid w:val="00A57440"/>
    <w:rsid w:val="00A57F7D"/>
    <w:rsid w:val="00A8299A"/>
    <w:rsid w:val="00A83796"/>
    <w:rsid w:val="00A868E2"/>
    <w:rsid w:val="00A92440"/>
    <w:rsid w:val="00A9725A"/>
    <w:rsid w:val="00AA64CA"/>
    <w:rsid w:val="00AB128A"/>
    <w:rsid w:val="00AB6067"/>
    <w:rsid w:val="00AB78AF"/>
    <w:rsid w:val="00AD2721"/>
    <w:rsid w:val="00AD79DB"/>
    <w:rsid w:val="00AE5FC8"/>
    <w:rsid w:val="00B01017"/>
    <w:rsid w:val="00B0566F"/>
    <w:rsid w:val="00B059D1"/>
    <w:rsid w:val="00B078F8"/>
    <w:rsid w:val="00B146F4"/>
    <w:rsid w:val="00B14CFD"/>
    <w:rsid w:val="00B17AAE"/>
    <w:rsid w:val="00B20774"/>
    <w:rsid w:val="00B314CE"/>
    <w:rsid w:val="00B3410E"/>
    <w:rsid w:val="00B34AAE"/>
    <w:rsid w:val="00B544EA"/>
    <w:rsid w:val="00B552FB"/>
    <w:rsid w:val="00B64A6D"/>
    <w:rsid w:val="00B765C5"/>
    <w:rsid w:val="00B76958"/>
    <w:rsid w:val="00B861F9"/>
    <w:rsid w:val="00BA08DA"/>
    <w:rsid w:val="00BA335D"/>
    <w:rsid w:val="00BA6024"/>
    <w:rsid w:val="00BB2955"/>
    <w:rsid w:val="00BB50A5"/>
    <w:rsid w:val="00BC5D5C"/>
    <w:rsid w:val="00BD0155"/>
    <w:rsid w:val="00BD12A2"/>
    <w:rsid w:val="00BD6D44"/>
    <w:rsid w:val="00C000D6"/>
    <w:rsid w:val="00C044B3"/>
    <w:rsid w:val="00C0555B"/>
    <w:rsid w:val="00C27B36"/>
    <w:rsid w:val="00C47AD9"/>
    <w:rsid w:val="00C57AB7"/>
    <w:rsid w:val="00C607BE"/>
    <w:rsid w:val="00C71C52"/>
    <w:rsid w:val="00C96DA3"/>
    <w:rsid w:val="00CB0568"/>
    <w:rsid w:val="00CB6417"/>
    <w:rsid w:val="00CC4898"/>
    <w:rsid w:val="00CC59F0"/>
    <w:rsid w:val="00CD761A"/>
    <w:rsid w:val="00D03B3D"/>
    <w:rsid w:val="00D0550E"/>
    <w:rsid w:val="00D112F4"/>
    <w:rsid w:val="00D25904"/>
    <w:rsid w:val="00D26ACC"/>
    <w:rsid w:val="00D42CF5"/>
    <w:rsid w:val="00D47BA4"/>
    <w:rsid w:val="00D518F8"/>
    <w:rsid w:val="00D63BA2"/>
    <w:rsid w:val="00D718FD"/>
    <w:rsid w:val="00D92314"/>
    <w:rsid w:val="00D93A55"/>
    <w:rsid w:val="00D93FF7"/>
    <w:rsid w:val="00DA0A78"/>
    <w:rsid w:val="00DA6E8C"/>
    <w:rsid w:val="00DB0A77"/>
    <w:rsid w:val="00DB1313"/>
    <w:rsid w:val="00DB34DA"/>
    <w:rsid w:val="00DC27E7"/>
    <w:rsid w:val="00DC48FC"/>
    <w:rsid w:val="00DD0EA7"/>
    <w:rsid w:val="00DD74F0"/>
    <w:rsid w:val="00DE3352"/>
    <w:rsid w:val="00E346FC"/>
    <w:rsid w:val="00E71BCB"/>
    <w:rsid w:val="00E7258D"/>
    <w:rsid w:val="00E7374D"/>
    <w:rsid w:val="00E749F2"/>
    <w:rsid w:val="00E763CA"/>
    <w:rsid w:val="00E772F5"/>
    <w:rsid w:val="00E90FE0"/>
    <w:rsid w:val="00E94414"/>
    <w:rsid w:val="00E94605"/>
    <w:rsid w:val="00EA729C"/>
    <w:rsid w:val="00EA7FA7"/>
    <w:rsid w:val="00EE0F9D"/>
    <w:rsid w:val="00F0533B"/>
    <w:rsid w:val="00F10503"/>
    <w:rsid w:val="00F13E47"/>
    <w:rsid w:val="00F246E0"/>
    <w:rsid w:val="00F24793"/>
    <w:rsid w:val="00F24827"/>
    <w:rsid w:val="00F25DBD"/>
    <w:rsid w:val="00F35929"/>
    <w:rsid w:val="00F36173"/>
    <w:rsid w:val="00F409D0"/>
    <w:rsid w:val="00F42775"/>
    <w:rsid w:val="00F4345F"/>
    <w:rsid w:val="00F43D78"/>
    <w:rsid w:val="00F535AA"/>
    <w:rsid w:val="00F56B63"/>
    <w:rsid w:val="00F618E8"/>
    <w:rsid w:val="00F7248F"/>
    <w:rsid w:val="00F7728A"/>
    <w:rsid w:val="00F77A0D"/>
    <w:rsid w:val="00F85AD0"/>
    <w:rsid w:val="00FA5F32"/>
    <w:rsid w:val="00FC3A40"/>
    <w:rsid w:val="00FD42D5"/>
    <w:rsid w:val="00FD4737"/>
    <w:rsid w:val="00FE58B3"/>
    <w:rsid w:val="025D5E45"/>
    <w:rsid w:val="02A44174"/>
    <w:rsid w:val="037B7E53"/>
    <w:rsid w:val="03DE5A5A"/>
    <w:rsid w:val="0458334F"/>
    <w:rsid w:val="04B30C95"/>
    <w:rsid w:val="062E558D"/>
    <w:rsid w:val="06FA7309"/>
    <w:rsid w:val="0C966375"/>
    <w:rsid w:val="0EBC1A1B"/>
    <w:rsid w:val="0EFB10C3"/>
    <w:rsid w:val="139DC9D9"/>
    <w:rsid w:val="13D34EB0"/>
    <w:rsid w:val="13DBBB60"/>
    <w:rsid w:val="155242F1"/>
    <w:rsid w:val="16077093"/>
    <w:rsid w:val="16DBBB27"/>
    <w:rsid w:val="17514A69"/>
    <w:rsid w:val="17E458DD"/>
    <w:rsid w:val="183121A5"/>
    <w:rsid w:val="18EA61D2"/>
    <w:rsid w:val="19F9C81F"/>
    <w:rsid w:val="1A4C59BC"/>
    <w:rsid w:val="1B43291B"/>
    <w:rsid w:val="1D6848BB"/>
    <w:rsid w:val="1E9729F1"/>
    <w:rsid w:val="1FDD3AF4"/>
    <w:rsid w:val="202D396A"/>
    <w:rsid w:val="21701F90"/>
    <w:rsid w:val="21A12149"/>
    <w:rsid w:val="220628F4"/>
    <w:rsid w:val="24C30629"/>
    <w:rsid w:val="25437DCD"/>
    <w:rsid w:val="2A2878AC"/>
    <w:rsid w:val="2B0660C0"/>
    <w:rsid w:val="2BEFD11C"/>
    <w:rsid w:val="2BFFCA74"/>
    <w:rsid w:val="2C8E3C12"/>
    <w:rsid w:val="2D1212E9"/>
    <w:rsid w:val="2DEE94E3"/>
    <w:rsid w:val="2EAE5EE7"/>
    <w:rsid w:val="2EB9196C"/>
    <w:rsid w:val="31102C85"/>
    <w:rsid w:val="315A09CA"/>
    <w:rsid w:val="31737380"/>
    <w:rsid w:val="32D24B2C"/>
    <w:rsid w:val="33596D28"/>
    <w:rsid w:val="33B10C5A"/>
    <w:rsid w:val="34F717EF"/>
    <w:rsid w:val="359F0CE2"/>
    <w:rsid w:val="35FDE72B"/>
    <w:rsid w:val="36571453"/>
    <w:rsid w:val="36FE66E8"/>
    <w:rsid w:val="373675E7"/>
    <w:rsid w:val="379F1EB2"/>
    <w:rsid w:val="37BD7802"/>
    <w:rsid w:val="37BFA4D7"/>
    <w:rsid w:val="37FF4EE7"/>
    <w:rsid w:val="37FF8432"/>
    <w:rsid w:val="394C2E8B"/>
    <w:rsid w:val="397FA175"/>
    <w:rsid w:val="397FBD50"/>
    <w:rsid w:val="3B8E32E7"/>
    <w:rsid w:val="3BF95E09"/>
    <w:rsid w:val="3C5C1637"/>
    <w:rsid w:val="3CDE3DFA"/>
    <w:rsid w:val="3CEE01F4"/>
    <w:rsid w:val="3D4C1C60"/>
    <w:rsid w:val="3DBF1E7D"/>
    <w:rsid w:val="3DE9DE68"/>
    <w:rsid w:val="3EC534C3"/>
    <w:rsid w:val="3F84512C"/>
    <w:rsid w:val="3FFA6DF2"/>
    <w:rsid w:val="3FFDC7F8"/>
    <w:rsid w:val="3FFF767C"/>
    <w:rsid w:val="3FFFE87C"/>
    <w:rsid w:val="40520F90"/>
    <w:rsid w:val="415A5548"/>
    <w:rsid w:val="424C7A58"/>
    <w:rsid w:val="42707BEA"/>
    <w:rsid w:val="43C24475"/>
    <w:rsid w:val="43FF31D1"/>
    <w:rsid w:val="440E76BA"/>
    <w:rsid w:val="44224F14"/>
    <w:rsid w:val="44EEA1B6"/>
    <w:rsid w:val="45AA6F6F"/>
    <w:rsid w:val="46396545"/>
    <w:rsid w:val="46A77952"/>
    <w:rsid w:val="47DFB37F"/>
    <w:rsid w:val="4AFB026D"/>
    <w:rsid w:val="4B375749"/>
    <w:rsid w:val="4B4D6D1A"/>
    <w:rsid w:val="4BBE19C6"/>
    <w:rsid w:val="4CDCD5CF"/>
    <w:rsid w:val="4D810EFD"/>
    <w:rsid w:val="4DC64B62"/>
    <w:rsid w:val="4ECF961A"/>
    <w:rsid w:val="4FAB50FC"/>
    <w:rsid w:val="503B7C30"/>
    <w:rsid w:val="50B6780E"/>
    <w:rsid w:val="510E0CFA"/>
    <w:rsid w:val="516369D5"/>
    <w:rsid w:val="51B053C9"/>
    <w:rsid w:val="51CB6BEB"/>
    <w:rsid w:val="539354E6"/>
    <w:rsid w:val="53C324EB"/>
    <w:rsid w:val="548234E7"/>
    <w:rsid w:val="54CF69F2"/>
    <w:rsid w:val="54FF1B90"/>
    <w:rsid w:val="5537EF5F"/>
    <w:rsid w:val="57BF86D6"/>
    <w:rsid w:val="58A91308"/>
    <w:rsid w:val="593257A1"/>
    <w:rsid w:val="5A461504"/>
    <w:rsid w:val="5A9FFD5A"/>
    <w:rsid w:val="5AFD1661"/>
    <w:rsid w:val="5AFF7EAE"/>
    <w:rsid w:val="5B1E3BE0"/>
    <w:rsid w:val="5B294982"/>
    <w:rsid w:val="5BFDE509"/>
    <w:rsid w:val="5C3A9C3C"/>
    <w:rsid w:val="5D0EBA49"/>
    <w:rsid w:val="5D591ADE"/>
    <w:rsid w:val="5DDD3004"/>
    <w:rsid w:val="5DE51D87"/>
    <w:rsid w:val="5E4D19F8"/>
    <w:rsid w:val="5EBA601D"/>
    <w:rsid w:val="5EBF3DA0"/>
    <w:rsid w:val="5F3F36E4"/>
    <w:rsid w:val="5F3F629F"/>
    <w:rsid w:val="5F4736B1"/>
    <w:rsid w:val="60BE791B"/>
    <w:rsid w:val="60D61108"/>
    <w:rsid w:val="631C1AC7"/>
    <w:rsid w:val="64721148"/>
    <w:rsid w:val="64831A97"/>
    <w:rsid w:val="65F17205"/>
    <w:rsid w:val="669F395E"/>
    <w:rsid w:val="66DFF6A0"/>
    <w:rsid w:val="67F3BADC"/>
    <w:rsid w:val="67FEDBFD"/>
    <w:rsid w:val="697F67E1"/>
    <w:rsid w:val="6A6C0B74"/>
    <w:rsid w:val="6B04674E"/>
    <w:rsid w:val="6B477A32"/>
    <w:rsid w:val="6B9145AA"/>
    <w:rsid w:val="6D001733"/>
    <w:rsid w:val="6EB162FB"/>
    <w:rsid w:val="6F7F8D48"/>
    <w:rsid w:val="6FBE7A54"/>
    <w:rsid w:val="6FBF64C3"/>
    <w:rsid w:val="6FFF5C3A"/>
    <w:rsid w:val="707149AA"/>
    <w:rsid w:val="709F32C5"/>
    <w:rsid w:val="71DDCC4E"/>
    <w:rsid w:val="735B1EC7"/>
    <w:rsid w:val="73DF9550"/>
    <w:rsid w:val="73EF21BB"/>
    <w:rsid w:val="745B5BD9"/>
    <w:rsid w:val="755798BA"/>
    <w:rsid w:val="75FF8644"/>
    <w:rsid w:val="7637662C"/>
    <w:rsid w:val="772937FE"/>
    <w:rsid w:val="7777EB3A"/>
    <w:rsid w:val="77FAB845"/>
    <w:rsid w:val="77FB1E48"/>
    <w:rsid w:val="781520BE"/>
    <w:rsid w:val="7883527A"/>
    <w:rsid w:val="79711863"/>
    <w:rsid w:val="79D81843"/>
    <w:rsid w:val="79E9735F"/>
    <w:rsid w:val="7A172026"/>
    <w:rsid w:val="7A17211E"/>
    <w:rsid w:val="7B7FDF2F"/>
    <w:rsid w:val="7BBF4D2C"/>
    <w:rsid w:val="7BCDFD87"/>
    <w:rsid w:val="7BCE74C1"/>
    <w:rsid w:val="7C7792AE"/>
    <w:rsid w:val="7CE765E0"/>
    <w:rsid w:val="7CFD8A53"/>
    <w:rsid w:val="7D292894"/>
    <w:rsid w:val="7D5C5408"/>
    <w:rsid w:val="7D7FCBD1"/>
    <w:rsid w:val="7DBA54EA"/>
    <w:rsid w:val="7DC71117"/>
    <w:rsid w:val="7E1F2AD4"/>
    <w:rsid w:val="7E5020A2"/>
    <w:rsid w:val="7E6DAD46"/>
    <w:rsid w:val="7EBFA0A2"/>
    <w:rsid w:val="7ED7E10A"/>
    <w:rsid w:val="7EDFDF6B"/>
    <w:rsid w:val="7EEB9E3C"/>
    <w:rsid w:val="7EFDB025"/>
    <w:rsid w:val="7EFF91FC"/>
    <w:rsid w:val="7F50B8EF"/>
    <w:rsid w:val="7F6FBC0C"/>
    <w:rsid w:val="7F774893"/>
    <w:rsid w:val="7F7F2BB3"/>
    <w:rsid w:val="7F9C2E76"/>
    <w:rsid w:val="7FAABE8B"/>
    <w:rsid w:val="7FB46184"/>
    <w:rsid w:val="7FB8C9D4"/>
    <w:rsid w:val="7FBD22C2"/>
    <w:rsid w:val="7FBF24DF"/>
    <w:rsid w:val="7FD6D976"/>
    <w:rsid w:val="7FE64A6C"/>
    <w:rsid w:val="7FEB9F31"/>
    <w:rsid w:val="7FED96E3"/>
    <w:rsid w:val="7FEDA4E7"/>
    <w:rsid w:val="7FEE6F1F"/>
    <w:rsid w:val="7FF1CBFF"/>
    <w:rsid w:val="7FFB1DA4"/>
    <w:rsid w:val="7FFDD0A2"/>
    <w:rsid w:val="7FFEF503"/>
    <w:rsid w:val="7FFF9405"/>
    <w:rsid w:val="7FFF9EF9"/>
    <w:rsid w:val="87FFE212"/>
    <w:rsid w:val="8FDF92CA"/>
    <w:rsid w:val="941F50A2"/>
    <w:rsid w:val="97EC1CAE"/>
    <w:rsid w:val="9D7FC172"/>
    <w:rsid w:val="9F671421"/>
    <w:rsid w:val="A3FFC1E6"/>
    <w:rsid w:val="A7BF62EB"/>
    <w:rsid w:val="AC7BBC91"/>
    <w:rsid w:val="AF7729AF"/>
    <w:rsid w:val="B3FF3595"/>
    <w:rsid w:val="B57787C8"/>
    <w:rsid w:val="B75AAFCB"/>
    <w:rsid w:val="B7F55338"/>
    <w:rsid w:val="B7FF59BB"/>
    <w:rsid w:val="B7FFF13A"/>
    <w:rsid w:val="B87E5D0A"/>
    <w:rsid w:val="BBD73D73"/>
    <w:rsid w:val="BD33513E"/>
    <w:rsid w:val="BD5E9164"/>
    <w:rsid w:val="BDC5721C"/>
    <w:rsid w:val="BDFF134E"/>
    <w:rsid w:val="BDFFA538"/>
    <w:rsid w:val="BEBEB8FC"/>
    <w:rsid w:val="BEFAEFDD"/>
    <w:rsid w:val="BF691E41"/>
    <w:rsid w:val="BF6FEEA5"/>
    <w:rsid w:val="BFA5639D"/>
    <w:rsid w:val="CBBF6AB1"/>
    <w:rsid w:val="CBFF0324"/>
    <w:rsid w:val="CF2E7C6D"/>
    <w:rsid w:val="CF7F1843"/>
    <w:rsid w:val="CFF2CB4E"/>
    <w:rsid w:val="CFF6CFD7"/>
    <w:rsid w:val="CFF85FEA"/>
    <w:rsid w:val="D3FF8E43"/>
    <w:rsid w:val="D57E2EAB"/>
    <w:rsid w:val="D6BE35BF"/>
    <w:rsid w:val="D7A72458"/>
    <w:rsid w:val="DBF5206D"/>
    <w:rsid w:val="DEF942BF"/>
    <w:rsid w:val="DF7303F2"/>
    <w:rsid w:val="DF7E6D7C"/>
    <w:rsid w:val="DFAA716C"/>
    <w:rsid w:val="DFD74084"/>
    <w:rsid w:val="DFDF6864"/>
    <w:rsid w:val="DFEF6A5F"/>
    <w:rsid w:val="DFF9C84B"/>
    <w:rsid w:val="E3A70938"/>
    <w:rsid w:val="E5775956"/>
    <w:rsid w:val="E74F340C"/>
    <w:rsid w:val="EA5E1672"/>
    <w:rsid w:val="EAD6EE64"/>
    <w:rsid w:val="EDDF7C77"/>
    <w:rsid w:val="EDEFCCED"/>
    <w:rsid w:val="EEEF0AC4"/>
    <w:rsid w:val="EEF75367"/>
    <w:rsid w:val="EEFEF5B0"/>
    <w:rsid w:val="EFBD1C47"/>
    <w:rsid w:val="EFE9FFFE"/>
    <w:rsid w:val="EFFF10F5"/>
    <w:rsid w:val="F3E95DB7"/>
    <w:rsid w:val="F3FF2CE6"/>
    <w:rsid w:val="F58B1DCF"/>
    <w:rsid w:val="F5FF4F30"/>
    <w:rsid w:val="F5FF825A"/>
    <w:rsid w:val="F6BF57A4"/>
    <w:rsid w:val="F7A68D21"/>
    <w:rsid w:val="F7DF9791"/>
    <w:rsid w:val="F7EE6D80"/>
    <w:rsid w:val="F7FBD5D3"/>
    <w:rsid w:val="F7FF97B6"/>
    <w:rsid w:val="F93FCFFA"/>
    <w:rsid w:val="F9F0F9BD"/>
    <w:rsid w:val="F9F345C1"/>
    <w:rsid w:val="FADB3F4D"/>
    <w:rsid w:val="FAEFF03A"/>
    <w:rsid w:val="FAFFFA55"/>
    <w:rsid w:val="FB77665D"/>
    <w:rsid w:val="FBB4557C"/>
    <w:rsid w:val="FBDEF4C3"/>
    <w:rsid w:val="FBF7A8C6"/>
    <w:rsid w:val="FBFBCE0C"/>
    <w:rsid w:val="FCDC83AC"/>
    <w:rsid w:val="FCEFB563"/>
    <w:rsid w:val="FCF6DE81"/>
    <w:rsid w:val="FD2E5539"/>
    <w:rsid w:val="FD9BDE9D"/>
    <w:rsid w:val="FDBB84A0"/>
    <w:rsid w:val="FDF4C2B4"/>
    <w:rsid w:val="FDFB86A6"/>
    <w:rsid w:val="FDFBAC30"/>
    <w:rsid w:val="FEBB5125"/>
    <w:rsid w:val="FEDAFD10"/>
    <w:rsid w:val="FEF55E4B"/>
    <w:rsid w:val="FF3DADD0"/>
    <w:rsid w:val="FF5E0D17"/>
    <w:rsid w:val="FF6BDBDD"/>
    <w:rsid w:val="FF7F0507"/>
    <w:rsid w:val="FFBD93AF"/>
    <w:rsid w:val="FFBF1199"/>
    <w:rsid w:val="FFBF46C0"/>
    <w:rsid w:val="FFBFB184"/>
    <w:rsid w:val="FFBFF209"/>
    <w:rsid w:val="FFDA53A9"/>
    <w:rsid w:val="FFDEF475"/>
    <w:rsid w:val="FFE76A5D"/>
    <w:rsid w:val="FFF7111A"/>
    <w:rsid w:val="FFF72E63"/>
    <w:rsid w:val="FFF7F5D5"/>
    <w:rsid w:val="FFFD1E50"/>
    <w:rsid w:val="FFFDB1D7"/>
    <w:rsid w:val="FFFF1A86"/>
    <w:rsid w:val="FFFFB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0"/>
    <w:pPr>
      <w:keepNext/>
      <w:keepLines/>
      <w:spacing w:before="340" w:after="330" w:line="576" w:lineRule="auto"/>
      <w:outlineLvl w:val="0"/>
    </w:pPr>
    <w:rPr>
      <w:b/>
      <w:bCs/>
      <w:kern w:val="44"/>
      <w:sz w:val="44"/>
      <w:szCs w:val="44"/>
    </w:rPr>
  </w:style>
  <w:style w:type="character" w:default="1" w:styleId="16">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semiHidden/>
    <w:unhideWhenUsed/>
    <w:qFormat/>
    <w:uiPriority w:val="99"/>
    <w:pPr>
      <w:spacing w:line="600" w:lineRule="exact"/>
      <w:ind w:firstLine="720" w:firstLineChars="200"/>
    </w:pPr>
    <w:rPr>
      <w:rFonts w:ascii="Calibri" w:hAnsi="Calibri"/>
    </w:rPr>
  </w:style>
  <w:style w:type="paragraph" w:styleId="3">
    <w:name w:val="Title"/>
    <w:basedOn w:val="1"/>
    <w:next w:val="1"/>
    <w:qFormat/>
    <w:uiPriority w:val="0"/>
    <w:pPr>
      <w:spacing w:before="240" w:after="60"/>
      <w:jc w:val="center"/>
      <w:outlineLvl w:val="0"/>
    </w:pPr>
    <w:rPr>
      <w:rFonts w:ascii="Cambria" w:hAnsi="Cambria"/>
      <w:b/>
      <w:bCs/>
      <w:sz w:val="32"/>
      <w:szCs w:val="32"/>
    </w:rPr>
  </w:style>
  <w:style w:type="paragraph" w:styleId="5">
    <w:name w:val="annotation subject"/>
    <w:basedOn w:val="6"/>
    <w:next w:val="6"/>
    <w:link w:val="41"/>
    <w:qFormat/>
    <w:uiPriority w:val="0"/>
    <w:rPr>
      <w:b/>
      <w:bCs/>
    </w:rPr>
  </w:style>
  <w:style w:type="paragraph" w:styleId="6">
    <w:name w:val="annotation text"/>
    <w:basedOn w:val="1"/>
    <w:link w:val="40"/>
    <w:qFormat/>
    <w:uiPriority w:val="0"/>
    <w:pPr>
      <w:jc w:val="left"/>
    </w:pPr>
  </w:style>
  <w:style w:type="paragraph" w:styleId="7">
    <w:name w:val="Normal Indent"/>
    <w:next w:val="1"/>
    <w:qFormat/>
    <w:uiPriority w:val="0"/>
    <w:pPr>
      <w:kinsoku w:val="0"/>
      <w:autoSpaceDE w:val="0"/>
      <w:autoSpaceDN w:val="0"/>
      <w:adjustRightInd w:val="0"/>
      <w:snapToGrid w:val="0"/>
      <w:spacing w:after="160" w:line="278" w:lineRule="auto"/>
      <w:ind w:firstLine="420" w:firstLineChars="200"/>
      <w:textAlignment w:val="baseline"/>
    </w:pPr>
    <w:rPr>
      <w:rFonts w:ascii="Arial" w:hAnsi="Arial" w:eastAsia="Arial" w:cs="Arial"/>
      <w:snapToGrid w:val="0"/>
      <w:color w:val="000000"/>
      <w:sz w:val="21"/>
      <w:szCs w:val="21"/>
      <w:lang w:val="en-US" w:eastAsia="en-US" w:bidi="ar-SA"/>
    </w:rPr>
  </w:style>
  <w:style w:type="paragraph" w:styleId="8">
    <w:name w:val="Document Map"/>
    <w:basedOn w:val="1"/>
    <w:link w:val="24"/>
    <w:qFormat/>
    <w:uiPriority w:val="0"/>
    <w:rPr>
      <w:rFonts w:ascii="宋体"/>
      <w:sz w:val="18"/>
      <w:szCs w:val="18"/>
    </w:rPr>
  </w:style>
  <w:style w:type="paragraph" w:styleId="9">
    <w:name w:val="Salutation"/>
    <w:basedOn w:val="1"/>
    <w:next w:val="1"/>
    <w:qFormat/>
    <w:uiPriority w:val="0"/>
    <w:pPr>
      <w:spacing w:line="400" w:lineRule="exact"/>
      <w:ind w:left="210" w:hanging="210" w:hangingChars="100"/>
    </w:pPr>
  </w:style>
  <w:style w:type="paragraph" w:styleId="10">
    <w:name w:val="Plain Text"/>
    <w:basedOn w:val="1"/>
    <w:link w:val="26"/>
    <w:qFormat/>
    <w:uiPriority w:val="0"/>
    <w:rPr>
      <w:rFonts w:ascii="宋体" w:hAnsi="Courier New"/>
      <w:szCs w:val="21"/>
    </w:rPr>
  </w:style>
  <w:style w:type="paragraph" w:styleId="11">
    <w:name w:val="Balloon Text"/>
    <w:basedOn w:val="1"/>
    <w:link w:val="22"/>
    <w:qFormat/>
    <w:uiPriority w:val="0"/>
    <w:rPr>
      <w:sz w:val="18"/>
      <w:szCs w:val="18"/>
    </w:rPr>
  </w:style>
  <w:style w:type="paragraph" w:styleId="12">
    <w:name w:val="footer"/>
    <w:basedOn w:val="1"/>
    <w:link w:val="29"/>
    <w:qFormat/>
    <w:uiPriority w:val="0"/>
    <w:pPr>
      <w:tabs>
        <w:tab w:val="center" w:pos="4153"/>
        <w:tab w:val="right" w:pos="8306"/>
      </w:tabs>
      <w:snapToGrid w:val="0"/>
      <w:jc w:val="left"/>
    </w:pPr>
    <w:rPr>
      <w:sz w:val="18"/>
      <w:szCs w:val="18"/>
    </w:rPr>
  </w:style>
  <w:style w:type="paragraph" w:styleId="13">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4">
    <w:name w:val="footnote text"/>
    <w:basedOn w:val="1"/>
    <w:link w:val="25"/>
    <w:qFormat/>
    <w:uiPriority w:val="0"/>
    <w:pPr>
      <w:snapToGrid w:val="0"/>
      <w:jc w:val="left"/>
    </w:pPr>
    <w:rPr>
      <w:sz w:val="18"/>
      <w:szCs w:val="18"/>
    </w:rPr>
  </w:style>
  <w:style w:type="paragraph" w:styleId="15">
    <w:name w:val="Normal (Web)"/>
    <w:basedOn w:val="1"/>
    <w:qFormat/>
    <w:uiPriority w:val="0"/>
    <w:pPr>
      <w:spacing w:before="100" w:beforeAutospacing="1" w:after="100" w:afterAutospacing="1"/>
      <w:jc w:val="left"/>
    </w:pPr>
    <w:rPr>
      <w:rFonts w:ascii="Calibri" w:hAnsi="Calibri"/>
      <w:kern w:val="0"/>
      <w:sz w:val="24"/>
    </w:rPr>
  </w:style>
  <w:style w:type="character" w:styleId="17">
    <w:name w:val="page number"/>
    <w:basedOn w:val="16"/>
    <w:qFormat/>
    <w:uiPriority w:val="0"/>
  </w:style>
  <w:style w:type="character" w:styleId="18">
    <w:name w:val="annotation reference"/>
    <w:qFormat/>
    <w:uiPriority w:val="0"/>
    <w:rPr>
      <w:sz w:val="21"/>
      <w:szCs w:val="21"/>
    </w:rPr>
  </w:style>
  <w:style w:type="character" w:styleId="19">
    <w:name w:val="footnote reference"/>
    <w:qFormat/>
    <w:uiPriority w:val="0"/>
    <w:rPr>
      <w:vertAlign w:val="superscript"/>
    </w:rPr>
  </w:style>
  <w:style w:type="table" w:styleId="21">
    <w:name w:val="Table Grid"/>
    <w:basedOn w:val="20"/>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2">
    <w:name w:val="批注框文本 字符"/>
    <w:link w:val="11"/>
    <w:qFormat/>
    <w:uiPriority w:val="0"/>
    <w:rPr>
      <w:kern w:val="2"/>
      <w:sz w:val="18"/>
      <w:szCs w:val="18"/>
    </w:rPr>
  </w:style>
  <w:style w:type="character" w:customStyle="1" w:styleId="23">
    <w:name w:val="纯文本 Char1"/>
    <w:qFormat/>
    <w:uiPriority w:val="0"/>
    <w:rPr>
      <w:rFonts w:ascii="宋体" w:hAnsi="Courier New" w:cs="Courier New"/>
      <w:kern w:val="2"/>
      <w:sz w:val="21"/>
      <w:szCs w:val="21"/>
    </w:rPr>
  </w:style>
  <w:style w:type="character" w:customStyle="1" w:styleId="24">
    <w:name w:val="文档结构图 字符"/>
    <w:link w:val="8"/>
    <w:qFormat/>
    <w:uiPriority w:val="0"/>
    <w:rPr>
      <w:rFonts w:ascii="宋体"/>
      <w:kern w:val="2"/>
      <w:sz w:val="18"/>
      <w:szCs w:val="18"/>
    </w:rPr>
  </w:style>
  <w:style w:type="character" w:customStyle="1" w:styleId="25">
    <w:name w:val="脚注文本 字符"/>
    <w:link w:val="14"/>
    <w:qFormat/>
    <w:uiPriority w:val="0"/>
    <w:rPr>
      <w:kern w:val="2"/>
      <w:sz w:val="18"/>
      <w:szCs w:val="18"/>
    </w:rPr>
  </w:style>
  <w:style w:type="character" w:customStyle="1" w:styleId="26">
    <w:name w:val="纯文本 字符"/>
    <w:link w:val="10"/>
    <w:qFormat/>
    <w:uiPriority w:val="0"/>
    <w:rPr>
      <w:rFonts w:ascii="宋体" w:hAnsi="Courier New" w:cs="Courier New"/>
      <w:kern w:val="2"/>
      <w:sz w:val="21"/>
      <w:szCs w:val="21"/>
    </w:rPr>
  </w:style>
  <w:style w:type="character" w:customStyle="1" w:styleId="27">
    <w:name w:val="标题 1 字符"/>
    <w:link w:val="4"/>
    <w:qFormat/>
    <w:uiPriority w:val="0"/>
    <w:rPr>
      <w:b/>
      <w:bCs/>
      <w:kern w:val="44"/>
      <w:sz w:val="44"/>
      <w:szCs w:val="44"/>
    </w:rPr>
  </w:style>
  <w:style w:type="character" w:customStyle="1" w:styleId="28">
    <w:name w:val="页码1"/>
    <w:basedOn w:val="16"/>
    <w:qFormat/>
    <w:uiPriority w:val="0"/>
  </w:style>
  <w:style w:type="character" w:customStyle="1" w:styleId="29">
    <w:name w:val="页脚 字符"/>
    <w:link w:val="12"/>
    <w:qFormat/>
    <w:uiPriority w:val="0"/>
    <w:rPr>
      <w:kern w:val="2"/>
      <w:sz w:val="18"/>
      <w:szCs w:val="18"/>
    </w:rPr>
  </w:style>
  <w:style w:type="character" w:customStyle="1" w:styleId="30">
    <w:name w:val="页眉 字符"/>
    <w:link w:val="13"/>
    <w:qFormat/>
    <w:uiPriority w:val="0"/>
    <w:rPr>
      <w:kern w:val="2"/>
      <w:sz w:val="18"/>
      <w:szCs w:val="18"/>
    </w:rPr>
  </w:style>
  <w:style w:type="paragraph" w:customStyle="1" w:styleId="31">
    <w:name w:val="p0"/>
    <w:basedOn w:val="1"/>
    <w:qFormat/>
    <w:uiPriority w:val="0"/>
    <w:pPr>
      <w:widowControl/>
    </w:pPr>
    <w:rPr>
      <w:kern w:val="0"/>
      <w:szCs w:val="21"/>
    </w:rPr>
  </w:style>
  <w:style w:type="paragraph" w:customStyle="1" w:styleId="32">
    <w:name w:val="p15"/>
    <w:basedOn w:val="1"/>
    <w:qFormat/>
    <w:uiPriority w:val="0"/>
    <w:pPr>
      <w:widowControl/>
      <w:snapToGrid w:val="0"/>
      <w:spacing w:line="300" w:lineRule="auto"/>
      <w:ind w:left="1260" w:hanging="1"/>
    </w:pPr>
    <w:rPr>
      <w:rFonts w:ascii="宋体" w:hAnsi="宋体" w:cs="宋体"/>
      <w:kern w:val="0"/>
      <w:sz w:val="24"/>
    </w:rPr>
  </w:style>
  <w:style w:type="paragraph" w:customStyle="1" w:styleId="33">
    <w:name w:val="Char Char1"/>
    <w:basedOn w:val="1"/>
    <w:qFormat/>
    <w:uiPriority w:val="0"/>
    <w:pPr>
      <w:tabs>
        <w:tab w:val="left" w:pos="720"/>
      </w:tabs>
      <w:adjustRightInd w:val="0"/>
      <w:snapToGrid w:val="0"/>
      <w:spacing w:line="360" w:lineRule="auto"/>
      <w:ind w:left="720" w:firstLine="200" w:firstLineChars="200"/>
    </w:pPr>
    <w:rPr>
      <w:rFonts w:eastAsia="仿宋_GB2312"/>
      <w:sz w:val="32"/>
      <w:szCs w:val="32"/>
    </w:rPr>
  </w:style>
  <w:style w:type="paragraph" w:customStyle="1" w:styleId="34">
    <w:name w:val="Char Char Char Char Char Char1 Char"/>
    <w:basedOn w:val="1"/>
    <w:qFormat/>
    <w:uiPriority w:val="0"/>
    <w:pPr>
      <w:widowControl/>
      <w:spacing w:line="240" w:lineRule="exact"/>
      <w:jc w:val="left"/>
    </w:pPr>
  </w:style>
  <w:style w:type="paragraph" w:customStyle="1" w:styleId="35">
    <w:name w:val="正文文本缩进 31"/>
    <w:basedOn w:val="1"/>
    <w:qFormat/>
    <w:uiPriority w:val="0"/>
    <w:pPr>
      <w:adjustRightInd w:val="0"/>
      <w:snapToGrid w:val="0"/>
      <w:spacing w:line="300" w:lineRule="auto"/>
      <w:ind w:left="1260" w:hanging="1"/>
    </w:pPr>
    <w:rPr>
      <w:rFonts w:ascii="宋体"/>
      <w:sz w:val="24"/>
    </w:rPr>
  </w:style>
  <w:style w:type="paragraph" w:styleId="36">
    <w:name w:val="List Paragraph"/>
    <w:basedOn w:val="1"/>
    <w:qFormat/>
    <w:uiPriority w:val="0"/>
    <w:pPr>
      <w:ind w:firstLine="420" w:firstLineChars="200"/>
    </w:pPr>
    <w:rPr>
      <w:rFonts w:ascii="Calibri" w:hAnsi="Calibri"/>
      <w:szCs w:val="22"/>
    </w:rPr>
  </w:style>
  <w:style w:type="paragraph" w:customStyle="1" w:styleId="37">
    <w:name w:val="纯文本2"/>
    <w:basedOn w:val="1"/>
    <w:qFormat/>
    <w:uiPriority w:val="0"/>
    <w:rPr>
      <w:rFonts w:ascii="宋体" w:hAnsi="Courier New" w:cs="Courier New"/>
      <w:kern w:val="0"/>
      <w:sz w:val="20"/>
      <w:szCs w:val="21"/>
    </w:rPr>
  </w:style>
  <w:style w:type="paragraph" w:customStyle="1" w:styleId="38">
    <w:name w:val="纯文本1"/>
    <w:basedOn w:val="1"/>
    <w:qFormat/>
    <w:uiPriority w:val="0"/>
    <w:rPr>
      <w:rFonts w:ascii="宋体" w:hAnsi="Courier New" w:cs="Courier New"/>
      <w:szCs w:val="21"/>
    </w:rPr>
  </w:style>
  <w:style w:type="paragraph" w:customStyle="1" w:styleId="39">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40">
    <w:name w:val="批注文字 字符"/>
    <w:basedOn w:val="16"/>
    <w:link w:val="6"/>
    <w:qFormat/>
    <w:uiPriority w:val="0"/>
    <w:rPr>
      <w:kern w:val="2"/>
      <w:sz w:val="21"/>
      <w:szCs w:val="24"/>
    </w:rPr>
  </w:style>
  <w:style w:type="character" w:customStyle="1" w:styleId="41">
    <w:name w:val="批注主题 字符"/>
    <w:basedOn w:val="40"/>
    <w:link w:val="5"/>
    <w:qFormat/>
    <w:uiPriority w:val="0"/>
    <w:rPr>
      <w:b/>
      <w:bCs/>
      <w:kern w:val="2"/>
      <w:sz w:val="21"/>
      <w:szCs w:val="24"/>
    </w:rPr>
  </w:style>
  <w:style w:type="table" w:customStyle="1" w:styleId="42">
    <w:name w:val="Table Normal"/>
    <w:semiHidden/>
    <w:unhideWhenUsed/>
    <w:qFormat/>
    <w:uiPriority w:val="0"/>
    <w:tblPr>
      <w:tblLayout w:type="fixed"/>
      <w:tblCellMar>
        <w:top w:w="0" w:type="dxa"/>
        <w:left w:w="0" w:type="dxa"/>
        <w:bottom w:w="0" w:type="dxa"/>
        <w:right w:w="0" w:type="dxa"/>
      </w:tblCellMar>
    </w:tblPr>
  </w:style>
  <w:style w:type="paragraph" w:customStyle="1" w:styleId="43">
    <w:name w:val="列表段落1"/>
    <w:basedOn w:val="1"/>
    <w:qFormat/>
    <w:uiPriority w:val="34"/>
    <w:pPr>
      <w:ind w:firstLine="420" w:firstLineChars="200"/>
    </w:pPr>
    <w:rPr>
      <w:rFonts w:ascii="Calibri" w:hAnsi="Calibri"/>
    </w:rPr>
  </w:style>
  <w:style w:type="paragraph" w:customStyle="1" w:styleId="44">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15310</Words>
  <Characters>16229</Characters>
  <Lines>676</Lines>
  <Paragraphs>685</Paragraphs>
  <TotalTime>7</TotalTime>
  <ScaleCrop>false</ScaleCrop>
  <LinksUpToDate>false</LinksUpToDate>
  <CharactersWithSpaces>30854</CharactersWithSpaces>
  <Application>WPS Office_10.1.0.7411_F1E327BC-269C-435d-A152-05C5408002CA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2021-05-05T23:55:00Z</dcterms:created>
  <dc:creator>Administrator</dc:creator>
  <cp:lastModifiedBy>高群2</cp:lastModifiedBy>
  <cp:lastPrinted>2026-07-16T18:44:00Z</cp:lastPrinted>
  <dcterms:modified xsi:type="dcterms:W3CDTF">2026-09-21T19:40:53Z</dcterms:modified>
  <dc:title>附件3-1</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2052-10.1.0.7411</vt:lpwstr>
  </property>
  <property fmtid="{D5CDD505-2E9C-101B-9397-08002B2CF9AE}" pid="3" name="ICV">
    <vt:lpwstr>11A993779BB04C328B89C3DDB8C6212B_12</vt:lpwstr>
  </property>
</Properties>
</file>