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22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关于发布2026年度济南市科技计划“揭榜挂帅”榜单及组织揭榜工作的通知</w:t>
      </w:r>
    </w:p>
    <w:p w14:paraId="28108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AAC7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各区县（功能区）科技主管部门，各有关单位：</w:t>
      </w:r>
    </w:p>
    <w:p w14:paraId="1FCA3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为强化企业创新主体地位，调动全社会力量攻克全市产业发展亟需解决的技术难题，现公开发布2026年度济南市科技计划“揭榜挂帅”榜单，并组织开展揭榜活动，有关事项通知如下：</w:t>
      </w:r>
    </w:p>
    <w:p w14:paraId="4783E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一、榜单发布</w:t>
      </w:r>
    </w:p>
    <w:p w14:paraId="7EF00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本年度榜单分为全市重点产业、未来产业、科技服务业三大板块，经广泛征集、充分遴选，形成2026年度济南市科技计划“揭榜挂帅”榜单（具体见附件）。</w:t>
      </w:r>
    </w:p>
    <w:p w14:paraId="511E8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二、提报流程</w:t>
      </w:r>
    </w:p>
    <w:p w14:paraId="64D8D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（一）揭榜方基本要求</w:t>
      </w:r>
    </w:p>
    <w:p w14:paraId="3B1E9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1.国内外有能力解决技术需求的高校、科研机构、企业、创业团队等创新主体或其组成的联合体，须有较强的研发实力、科研条件和稳定的人员队伍；</w:t>
      </w:r>
    </w:p>
    <w:p w14:paraId="75826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能针对榜单需求，提出攻克关键核心技术的可行方案，掌握相关自主知识产权；</w:t>
      </w:r>
    </w:p>
    <w:p w14:paraId="74F9C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3.揭榜方为企业的，应具有独立法人资格；揭榜方应与发榜单位无关联关系，符合社会信用制度、涉企资金“绿色门槛”制度、科研诚信等相关要求。</w:t>
      </w:r>
    </w:p>
    <w:p w14:paraId="31FDB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（二）提报揭榜</w:t>
      </w:r>
    </w:p>
    <w:p w14:paraId="6F252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意向揭榜方应与发榜单位主动对接项目实施要求</w:t>
      </w:r>
      <w:r>
        <w:rPr>
          <w:rFonts w:hint="eastAsia" w:ascii="仿宋" w:hAnsi="仿宋" w:eastAsia="仿宋" w:cs="仿宋"/>
          <w:sz w:val="32"/>
          <w:szCs w:val="32"/>
        </w:rPr>
        <w:t>，于10月7日前将揭榜意向书及相关佐证材料（word版及盖章pdf版）打包发送至邮箱skjjzpc@jn.shandong.cn，邮件标题：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榜单序号+榜单名称+揭榜单位名称</w:t>
      </w:r>
      <w:r>
        <w:rPr>
          <w:rFonts w:hint="eastAsia" w:ascii="仿宋" w:hAnsi="仿宋" w:eastAsia="仿宋" w:cs="仿宋"/>
          <w:sz w:val="32"/>
          <w:szCs w:val="32"/>
        </w:rPr>
        <w:t>，逾期无法受理，邮箱已开启自动回复功能，请注意核实邮件是否发送成功。</w:t>
      </w:r>
    </w:p>
    <w:p w14:paraId="027E8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揭榜意向书内容须包括：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揭榜单位或联合体基本情况，技术国内外研究和产业化现状，核心技术攻关内容、实施方法和技术路线，现有工作基础，榜单指标响应情况，与发榜单位联合产业化落地计划，揭榜方经费预算和联系方式等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05780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市科技局将联合发榜单位、项目主管部门，共同组织专家对各揭榜意向进行论证，择优确定揭榜方，论证时间另行通知。</w:t>
      </w:r>
    </w:p>
    <w:p w14:paraId="5BEF6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（三）编制实施方案和预算书</w:t>
      </w:r>
    </w:p>
    <w:p w14:paraId="2F691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揭榜意向经论证确定后，由发榜单位为牵头单位、揭榜方为参与单位，共同编制项目实施方案和预算书。预算书须包括牵头单位和参与单位的预算，各单位对申报材料及数据的真实性、合法性、有效性负责，自行承担包括知识产权纠纷在内的一切风险。发榜单位支付给揭榜方的技术攻关费用，原则上不低于财政资助额度的60%。揭榜方不得向外转拨财政资金。</w:t>
      </w:r>
    </w:p>
    <w:p w14:paraId="2BA7A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实行技术总师负责制，应明确技术总师，并配备科研财务助理。各单位应明确1名项目负责人，负责本单位项目的实施及单位之间的统筹对接。项目的所有承担单位须签署专项合作协议，明确具体合作事项、知识产权归属等事宜。</w:t>
      </w:r>
    </w:p>
    <w:p w14:paraId="58535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项目实施期统一从2026年11月起，实施周期原则上为2年，生物医药、农业领域可延长至3年。</w:t>
      </w:r>
    </w:p>
    <w:p w14:paraId="69C0E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三、评审立项</w:t>
      </w:r>
    </w:p>
    <w:p w14:paraId="55B30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发榜单位登录济南市科技计划申报与管理系统（网址：http://119.164.252.194/prg/），选择“项目申报—揭榜挂帅实施方案”，选择对应的主管业务处室（与需求申报时一致），填写项目基本信息，上传项目实施方案、预算书、有关证明材料等，填报时间为10月14—18日，逾期系统将自动关闭。</w:t>
      </w:r>
    </w:p>
    <w:p w14:paraId="36BE1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各区县科技主管部门对项目材料进行形式审查，并推荐至市科技局，审核推荐截止时间为10月19日，逾期系统将自动关闭。</w:t>
      </w:r>
    </w:p>
    <w:p w14:paraId="5A371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四、支持形式</w:t>
      </w:r>
    </w:p>
    <w:p w14:paraId="24411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市级财政按照项目实际研发投入的一定比例，分档分期给予资助，单项支持最高300万元。项目立项后，按照预算评审确定的项目预算，先期拨付一定比例的财政资金；后期资金根据项目实际研发投入予以拨付。项目实际研发投入，以项目综合绩效评价（验收）时，第三方审计认定的数据为准。</w:t>
      </w:r>
    </w:p>
    <w:p w14:paraId="1579A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若项目立项支持经费未达到申请额度，牵头单位和参与单位应承诺通过增加自筹资金解决差额部分。自筹资金须真实足额到位，资金到位及使用情况作为项目绩效评价（验收）的重要内容之一。</w:t>
      </w:r>
    </w:p>
    <w:p w14:paraId="31611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五、联系方式</w:t>
      </w:r>
    </w:p>
    <w:p w14:paraId="511DC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系统技术支持：市科技信息研究院  82069878</w:t>
      </w:r>
    </w:p>
    <w:p w14:paraId="00074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政策咨询：资源配置与管理处  51708803</w:t>
      </w:r>
    </w:p>
    <w:p w14:paraId="66D7B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业务咨询：高新技术发展处  51708807</w:t>
      </w:r>
    </w:p>
    <w:p w14:paraId="1D3A0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产业发展处  51708801</w:t>
      </w:r>
    </w:p>
    <w:p w14:paraId="35212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社会发展与农村科技处  51708811</w:t>
      </w:r>
    </w:p>
    <w:p w14:paraId="3EBF0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重大科创平台管理处  51703116</w:t>
      </w:r>
    </w:p>
    <w:p w14:paraId="5DF1D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前沿技术与基础研究处  51708810</w:t>
      </w:r>
    </w:p>
    <w:p w14:paraId="58D0E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成果转化与科教融合促进处  51708842</w:t>
      </w:r>
    </w:p>
    <w:p w14:paraId="741F9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科技企业服务处  51705976</w:t>
      </w:r>
    </w:p>
    <w:p w14:paraId="102C2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3B98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2C76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济南市科学技术局</w:t>
      </w:r>
    </w:p>
    <w:p w14:paraId="0DEA4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2026年9月3日  </w:t>
      </w:r>
    </w:p>
    <w:p w14:paraId="57D7183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10DC7"/>
    <w:rsid w:val="07697D31"/>
    <w:rsid w:val="0AE20526"/>
    <w:rsid w:val="0FFA3C1C"/>
    <w:rsid w:val="13EA5BC9"/>
    <w:rsid w:val="14005579"/>
    <w:rsid w:val="165F2A2B"/>
    <w:rsid w:val="170610F8"/>
    <w:rsid w:val="226715E5"/>
    <w:rsid w:val="279938C3"/>
    <w:rsid w:val="2ACD65FF"/>
    <w:rsid w:val="2BB86A0D"/>
    <w:rsid w:val="310E19C7"/>
    <w:rsid w:val="423430DF"/>
    <w:rsid w:val="43E477E4"/>
    <w:rsid w:val="44B370D4"/>
    <w:rsid w:val="56530F5D"/>
    <w:rsid w:val="5DAC5ADE"/>
    <w:rsid w:val="5F9E4B93"/>
    <w:rsid w:val="672C55DE"/>
    <w:rsid w:val="68923629"/>
    <w:rsid w:val="6F93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1504</Words>
  <Characters>1648</Characters>
  <Lines>0</Lines>
  <Paragraphs>0</Paragraphs>
  <TotalTime>29</TotalTime>
  <ScaleCrop>false</ScaleCrop>
  <LinksUpToDate>false</LinksUpToDate>
  <CharactersWithSpaces>1730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2025-11-03T05:50:00Z</dcterms:created>
  <dc:creator>QIT</dc:creator>
  <cp:lastModifiedBy>空岛空心</cp:lastModifiedBy>
  <dcterms:modified xsi:type="dcterms:W3CDTF">2026-09-04T01:17:51Z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eyJoZGlkIjoiZmRjOTI5ODUxZGM1Y2E5YjgyNzBkYjdhMmEyMjhiZTAiLCJ1c2VySWQiOiIzMjI5NzUwOTIifQ==</vt:lpwstr>
  </property>
  <property fmtid="{D5CDD505-2E9C-101B-9397-08002B2CF9AE}" pid="4" name="ICV">
    <vt:lpwstr>86C730E32AF44E26B52CF94F19F74067_12</vt:lpwstr>
  </property>
</Properties>
</file>