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14682F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</w:pPr>
      <w:bookmarkStart w:id="0" w:name="_Toc11225"/>
      <w:bookmarkStart w:id="1" w:name="_Toc18364_WPSOffice_Level2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学生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  <w:t>直报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教学信息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  <w:t>受理反馈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工作流程</w:t>
      </w:r>
      <w:bookmarkEnd w:id="0"/>
      <w:bookmarkEnd w:id="1"/>
    </w:p>
    <w:p w14:paraId="764BDE49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highlight w:val="none"/>
          <w:lang w:val="en-US" w:eastAsia="zh-CN"/>
        </w:rPr>
        <w:t>2026修订版</w:t>
      </w:r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highlight w:val="none"/>
          <w:lang w:eastAsia="zh-CN"/>
        </w:rPr>
        <w:t>）</w:t>
      </w:r>
    </w:p>
    <w:tbl>
      <w:tblPr>
        <w:tblStyle w:val="1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885"/>
        <w:gridCol w:w="3863"/>
        <w:gridCol w:w="1290"/>
        <w:gridCol w:w="1673"/>
      </w:tblGrid>
      <w:tr w14:paraId="07218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1" w:type="dxa"/>
            <w:shd w:val="clear" w:color="auto" w:fill="FFFFFF" w:themeFill="background1"/>
            <w:vAlign w:val="center"/>
          </w:tcPr>
          <w:p w14:paraId="58ADAF33">
            <w:pPr>
              <w:jc w:val="center"/>
              <w:rPr>
                <w:rFonts w:hint="eastAsia" w:eastAsia="宋体"/>
                <w:b/>
                <w:bCs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highlight w:val="none"/>
                <w:shd w:val="clear" w:color="auto" w:fill="auto"/>
                <w:lang w:val="en-US" w:eastAsia="zh-CN"/>
              </w:rPr>
              <w:t>序号</w:t>
            </w:r>
          </w:p>
        </w:tc>
        <w:tc>
          <w:tcPr>
            <w:tcW w:w="885" w:type="dxa"/>
            <w:shd w:val="clear" w:color="auto" w:fill="FFFFFF" w:themeFill="background1"/>
            <w:vAlign w:val="center"/>
          </w:tcPr>
          <w:p w14:paraId="7673E4B7">
            <w:pPr>
              <w:jc w:val="center"/>
              <w:rPr>
                <w:rFonts w:hint="default" w:eastAsia="宋体"/>
                <w:b/>
                <w:bCs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highlight w:val="none"/>
                <w:shd w:val="clear" w:color="auto" w:fill="auto"/>
                <w:lang w:val="en-US" w:eastAsia="zh-CN"/>
              </w:rPr>
              <w:t>步骤</w:t>
            </w:r>
          </w:p>
        </w:tc>
        <w:tc>
          <w:tcPr>
            <w:tcW w:w="3863" w:type="dxa"/>
            <w:shd w:val="clear" w:color="auto" w:fill="FFFFFF" w:themeFill="background1"/>
            <w:vAlign w:val="center"/>
          </w:tcPr>
          <w:p w14:paraId="45B75512">
            <w:pPr>
              <w:jc w:val="center"/>
              <w:rPr>
                <w:b/>
                <w:bCs/>
                <w:szCs w:val="21"/>
                <w:highlight w:val="none"/>
                <w:shd w:val="clear" w:color="auto" w:fill="auto"/>
              </w:rPr>
            </w:pPr>
            <w:r>
              <w:rPr>
                <w:rFonts w:hint="eastAsia"/>
                <w:b/>
                <w:bCs/>
                <w:szCs w:val="21"/>
                <w:highlight w:val="none"/>
                <w:shd w:val="clear" w:color="auto" w:fill="auto"/>
                <w:lang w:val="en-US" w:eastAsia="zh-CN"/>
              </w:rPr>
              <w:t>工作</w:t>
            </w:r>
            <w:r>
              <w:rPr>
                <w:rFonts w:hint="eastAsia"/>
                <w:b/>
                <w:bCs/>
                <w:szCs w:val="21"/>
                <w:highlight w:val="none"/>
                <w:shd w:val="clear" w:color="auto" w:fill="auto"/>
              </w:rPr>
              <w:t>内容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2FFF0697">
            <w:pPr>
              <w:jc w:val="center"/>
              <w:rPr>
                <w:b/>
                <w:bCs/>
                <w:szCs w:val="21"/>
                <w:highlight w:val="none"/>
                <w:shd w:val="clear" w:color="auto" w:fill="auto"/>
              </w:rPr>
            </w:pPr>
            <w:r>
              <w:rPr>
                <w:rFonts w:hint="eastAsia"/>
                <w:b/>
                <w:bCs/>
                <w:szCs w:val="21"/>
                <w:highlight w:val="none"/>
                <w:shd w:val="clear" w:color="auto" w:fill="auto"/>
              </w:rPr>
              <w:t>负责人</w:t>
            </w:r>
          </w:p>
        </w:tc>
        <w:tc>
          <w:tcPr>
            <w:tcW w:w="1673" w:type="dxa"/>
            <w:shd w:val="clear" w:color="auto" w:fill="FFFFFF" w:themeFill="background1"/>
            <w:vAlign w:val="center"/>
          </w:tcPr>
          <w:p w14:paraId="7FD28EFF">
            <w:pPr>
              <w:jc w:val="center"/>
              <w:rPr>
                <w:rFonts w:hint="eastAsia" w:eastAsia="宋体"/>
                <w:b/>
                <w:bCs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highlight w:val="none"/>
                <w:shd w:val="clear" w:color="auto" w:fill="auto"/>
                <w:lang w:val="en-US" w:eastAsia="zh-CN"/>
              </w:rPr>
              <w:t>备注</w:t>
            </w:r>
          </w:p>
        </w:tc>
      </w:tr>
      <w:tr w14:paraId="0B65C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81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C3D2B2">
            <w:pPr>
              <w:jc w:val="center"/>
              <w:rPr>
                <w:szCs w:val="21"/>
              </w:rPr>
            </w:pPr>
          </w:p>
        </w:tc>
        <w:tc>
          <w:tcPr>
            <w:tcW w:w="8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56AE4F">
            <w:pPr>
              <w:jc w:val="center"/>
              <w:rPr>
                <w:szCs w:val="21"/>
              </w:rPr>
            </w:pPr>
          </w:p>
        </w:tc>
        <w:tc>
          <w:tcPr>
            <w:tcW w:w="386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E6B82C">
            <w:pPr>
              <w:jc w:val="center"/>
              <w:rPr>
                <w:szCs w:val="21"/>
              </w:rPr>
            </w:pPr>
          </w:p>
        </w:tc>
        <w:tc>
          <w:tcPr>
            <w:tcW w:w="129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CCD7B3">
            <w:pPr>
              <w:jc w:val="center"/>
              <w:rPr>
                <w:szCs w:val="21"/>
              </w:rPr>
            </w:pPr>
          </w:p>
        </w:tc>
        <w:tc>
          <w:tcPr>
            <w:tcW w:w="16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15E1C6">
            <w:pPr>
              <w:jc w:val="center"/>
              <w:rPr>
                <w:szCs w:val="21"/>
              </w:rPr>
            </w:pPr>
          </w:p>
        </w:tc>
      </w:tr>
      <w:tr w14:paraId="71966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811" w:type="dxa"/>
            <w:shd w:val="clear" w:color="auto" w:fill="auto"/>
            <w:vAlign w:val="center"/>
          </w:tcPr>
          <w:p w14:paraId="1173C8D1">
            <w:pPr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1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25F9D810"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信息</w:t>
            </w:r>
          </w:p>
          <w:p w14:paraId="4337F7E1">
            <w:pPr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收集</w:t>
            </w:r>
          </w:p>
        </w:tc>
        <w:tc>
          <w:tcPr>
            <w:tcW w:w="3863" w:type="dxa"/>
            <w:shd w:val="clear" w:color="auto" w:fill="auto"/>
            <w:vAlign w:val="center"/>
          </w:tcPr>
          <w:p w14:paraId="71FF1F20">
            <w:pPr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学生教学信息员通过课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内外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观察、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与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师生交流、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个性化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体验等方式，收集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一线教学管理、服务保障等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信息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3724FC2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学生教学   信息员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7EC88323">
            <w:pPr>
              <w:jc w:val="both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随时随地</w:t>
            </w:r>
          </w:p>
        </w:tc>
      </w:tr>
    </w:tbl>
    <w:p w14:paraId="5656EF04">
      <w:pPr>
        <w:rPr>
          <w:rFonts w:asciiTheme="minorEastAsia" w:hAnsiTheme="minorEastAsia" w:eastAsiaTheme="minorEastAsia" w:cstheme="minorEastAsia"/>
          <w:sz w:val="22"/>
        </w:rPr>
      </w:pPr>
      <w:r>
        <w:rPr>
          <w:rFonts w:hint="eastAsia" w:asciiTheme="minorEastAsia" w:hAnsiTheme="minorEastAsia" w:eastAsiaTheme="minorEastAsia" w:cstheme="minorEastAsia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2181860</wp:posOffset>
                </wp:positionH>
                <wp:positionV relativeFrom="paragraph">
                  <wp:posOffset>99695</wp:posOffset>
                </wp:positionV>
                <wp:extent cx="360045" cy="190500"/>
                <wp:effectExtent l="12065" t="5080" r="26035" b="15875"/>
                <wp:wrapNone/>
                <wp:docPr id="391" name="右箭头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60045" cy="190500"/>
                        </a:xfrm>
                        <a:prstGeom prst="rightArrow">
                          <a:avLst>
                            <a:gd name="adj1" fmla="val 50000"/>
                            <a:gd name="adj2" fmla="val 4941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71.8pt;margin-top:7.85pt;height:15pt;width:28.35pt;rotation:5898240f;z-index:251659264;mso-width-relative:page;mso-height-relative:page;" fillcolor="#FFFFFF" filled="t" stroked="t" coordsize="21600,21600" o:gfxdata="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EXIqRrWAAAACQEAAA8AAAAAAAAAAQAgAAAAIgAAAGRycy9kb3ducmV2LnhtbFBL&#10;AQIUABQAAAAIAIdO4kAlK0ndagIAAOgEAAAOAAAAAAAAAAEAIAAAACUBAABkcnMvZTJvRG9jLnht&#10;bFBLBQYAAAAABgAGAFkBAAABBgAAAAA=&#10;" adj="15953,5400">
                <v:fill on="t" focussize="0,0"/>
                <v:stroke color="#000000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4D9EFFB1">
      <w:pPr>
        <w:rPr>
          <w:rFonts w:asciiTheme="minorEastAsia" w:hAnsiTheme="minorEastAsia" w:eastAsiaTheme="minorEastAsia" w:cstheme="minorEastAsia"/>
          <w:sz w:val="22"/>
        </w:rPr>
      </w:pPr>
    </w:p>
    <w:tbl>
      <w:tblPr>
        <w:tblStyle w:val="13"/>
        <w:tblpPr w:leftFromText="180" w:rightFromText="180" w:vertAnchor="text" w:horzAnchor="page" w:tblpXSpec="center" w:tblpY="6"/>
        <w:tblOverlap w:val="never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927"/>
        <w:gridCol w:w="3863"/>
        <w:gridCol w:w="1275"/>
        <w:gridCol w:w="1688"/>
      </w:tblGrid>
      <w:tr w14:paraId="1B3B1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69" w:type="dxa"/>
            <w:vAlign w:val="center"/>
          </w:tcPr>
          <w:p w14:paraId="5909AF5C">
            <w:pPr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2</w:t>
            </w:r>
          </w:p>
        </w:tc>
        <w:tc>
          <w:tcPr>
            <w:tcW w:w="927" w:type="dxa"/>
            <w:vAlign w:val="center"/>
          </w:tcPr>
          <w:p w14:paraId="56759ED4"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信息</w:t>
            </w:r>
          </w:p>
          <w:p w14:paraId="6D656262">
            <w:pPr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cstheme="minorEastAsia"/>
                <w:sz w:val="22"/>
                <w:lang w:val="en-US" w:eastAsia="zh-CN"/>
              </w:rPr>
              <w:t>报送</w:t>
            </w:r>
          </w:p>
        </w:tc>
        <w:tc>
          <w:tcPr>
            <w:tcW w:w="3863" w:type="dxa"/>
            <w:vAlign w:val="center"/>
          </w:tcPr>
          <w:p w14:paraId="65D2CA95">
            <w:pPr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通过学生端“齐鲁理工微服务·网上意见箱”或专用电子邮箱（QITxsjxxxy@163.com）报送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，也可将纸质版《学生直报教学信息受理反馈单》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直报信息员联络室（或经教学信息中心转报）</w:t>
            </w:r>
          </w:p>
        </w:tc>
        <w:tc>
          <w:tcPr>
            <w:tcW w:w="1275" w:type="dxa"/>
            <w:vAlign w:val="center"/>
          </w:tcPr>
          <w:p w14:paraId="5A6F0E0E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0"/>
              </w:rPr>
              <w:t>学生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教学</w:t>
            </w:r>
            <w:r>
              <w:rPr>
                <w:rFonts w:hint="eastAsia" w:asciiTheme="minorEastAsia" w:hAnsiTheme="minorEastAsia" w:cstheme="minorEastAsia"/>
                <w:sz w:val="20"/>
                <w:szCs w:val="20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信息员</w:t>
            </w:r>
          </w:p>
        </w:tc>
        <w:tc>
          <w:tcPr>
            <w:tcW w:w="1688" w:type="dxa"/>
            <w:vAlign w:val="center"/>
          </w:tcPr>
          <w:p w14:paraId="51AD1E09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每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月至少2条；可多人共单、随时随地或委托代为提交</w:t>
            </w:r>
          </w:p>
        </w:tc>
      </w:tr>
    </w:tbl>
    <w:p w14:paraId="4191B742">
      <w:pPr>
        <w:rPr>
          <w:rFonts w:asciiTheme="minorEastAsia" w:hAnsiTheme="minorEastAsia" w:eastAsiaTheme="minorEastAsia" w:cstheme="minorEastAsia"/>
          <w:sz w:val="22"/>
        </w:rPr>
      </w:pPr>
      <w:r>
        <w:rPr>
          <w:rFonts w:hint="eastAsia" w:asciiTheme="minorEastAsia" w:hAnsiTheme="minorEastAsia" w:eastAsiaTheme="minorEastAsia" w:cstheme="minorEastAsia"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2197100</wp:posOffset>
                </wp:positionH>
                <wp:positionV relativeFrom="paragraph">
                  <wp:posOffset>1103630</wp:posOffset>
                </wp:positionV>
                <wp:extent cx="360045" cy="190500"/>
                <wp:effectExtent l="10795" t="5080" r="27305" b="15875"/>
                <wp:wrapNone/>
                <wp:docPr id="69" name="右箭头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60045" cy="190500"/>
                        </a:xfrm>
                        <a:prstGeom prst="rightArrow">
                          <a:avLst>
                            <a:gd name="adj1" fmla="val 50000"/>
                            <a:gd name="adj2" fmla="val 56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73pt;margin-top:86.9pt;height:15pt;width:28.35pt;rotation:5898240f;z-index:251662336;mso-width-relative:page;mso-height-relative:page;" fillcolor="#FFFFFF" filled="t" stroked="t" coordsize="21600,21600" o:gfxdata="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5HrqpdwAAAALAQAADwAAAAAAAAABACAAAAAiAAAAZHJzL2Rvd25yZXYu&#10;eG1sUEsBAhQAFAAAAAgAh07iQBm+KfFpAgAA5gQAAA4AAAAAAAAAAQAgAAAAKwEAAGRycy9lMm9E&#10;b2MueG1sUEsFBgAAAAAGAAYAWQEAAAYGAAAAAA==&#10;" adj="15172,5400">
                <v:fill on="t" focussize="0,0"/>
                <v:stroke color="#000000" miterlimit="8" joinstyle="miter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13"/>
        <w:tblpPr w:leftFromText="180" w:rightFromText="180" w:vertAnchor="text" w:horzAnchor="page" w:tblpXSpec="center" w:tblpY="303"/>
        <w:tblOverlap w:val="never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922"/>
        <w:gridCol w:w="3863"/>
        <w:gridCol w:w="1290"/>
        <w:gridCol w:w="1705"/>
      </w:tblGrid>
      <w:tr w14:paraId="166F6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vAlign w:val="center"/>
          </w:tcPr>
          <w:p w14:paraId="45408184">
            <w:pPr>
              <w:jc w:val="center"/>
              <w:rPr>
                <w:rFonts w:asciiTheme="minorEastAsia" w:hAnsiTheme="minorEastAsia" w:eastAsiaTheme="minorEastAsia" w:cstheme="minorEastAsia"/>
                <w:sz w:val="22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highlight w:val="none"/>
              </w:rPr>
              <w:t>3</w:t>
            </w:r>
          </w:p>
        </w:tc>
        <w:tc>
          <w:tcPr>
            <w:tcW w:w="922" w:type="dxa"/>
            <w:vAlign w:val="center"/>
          </w:tcPr>
          <w:p w14:paraId="437E7FF6">
            <w:pPr>
              <w:jc w:val="center"/>
              <w:rPr>
                <w:rFonts w:hint="eastAsia" w:asciiTheme="minorEastAsia" w:hAnsiTheme="minorEastAsia" w:cstheme="minorEastAsia"/>
                <w:sz w:val="22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2"/>
                <w:highlight w:val="none"/>
              </w:rPr>
              <w:t>受理</w:t>
            </w:r>
          </w:p>
          <w:p w14:paraId="7F754066">
            <w:pPr>
              <w:jc w:val="center"/>
              <w:rPr>
                <w:rFonts w:hint="eastAsia" w:eastAsia="宋体" w:asciiTheme="minorEastAsia" w:hAnsiTheme="minorEastAsia" w:cstheme="minorEastAsia"/>
                <w:sz w:val="22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highlight w:val="none"/>
                <w:lang w:val="en-US" w:eastAsia="zh-CN"/>
              </w:rPr>
              <w:t>转达</w:t>
            </w:r>
          </w:p>
        </w:tc>
        <w:tc>
          <w:tcPr>
            <w:tcW w:w="3863" w:type="dxa"/>
            <w:vAlign w:val="center"/>
          </w:tcPr>
          <w:p w14:paraId="42FA5016">
            <w:pPr>
              <w:tabs>
                <w:tab w:val="left" w:pos="795"/>
              </w:tabs>
              <w:rPr>
                <w:rFonts w:hint="eastAsia" w:eastAsia="宋体" w:asciiTheme="minorEastAsia" w:hAnsiTheme="minorEastAsia" w:cstheme="minorEastAsia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sz w:val="20"/>
                <w:szCs w:val="20"/>
                <w:highlight w:val="none"/>
                <w:lang w:val="en-US" w:eastAsia="zh-CN"/>
              </w:rPr>
              <w:t>多渠道接收《</w:t>
            </w:r>
            <w:r>
              <w:rPr>
                <w:rFonts w:hint="eastAsia"/>
                <w:sz w:val="20"/>
                <w:szCs w:val="20"/>
                <w:highlight w:val="none"/>
              </w:rPr>
              <w:t>学生</w:t>
            </w:r>
            <w:r>
              <w:rPr>
                <w:rFonts w:hint="eastAsia"/>
                <w:sz w:val="20"/>
                <w:szCs w:val="20"/>
                <w:highlight w:val="none"/>
                <w:lang w:val="en-US" w:eastAsia="zh-CN"/>
              </w:rPr>
              <w:t>直报</w:t>
            </w:r>
            <w:r>
              <w:rPr>
                <w:rFonts w:hint="eastAsia"/>
                <w:sz w:val="20"/>
                <w:szCs w:val="20"/>
                <w:highlight w:val="none"/>
              </w:rPr>
              <w:t>教学信息</w:t>
            </w:r>
            <w:r>
              <w:rPr>
                <w:rFonts w:hint="eastAsia"/>
                <w:sz w:val="20"/>
                <w:szCs w:val="20"/>
                <w:highlight w:val="none"/>
                <w:lang w:val="en-US" w:eastAsia="zh-CN"/>
              </w:rPr>
              <w:t>受理</w:t>
            </w:r>
            <w:r>
              <w:rPr>
                <w:rFonts w:hint="eastAsia"/>
                <w:sz w:val="20"/>
                <w:szCs w:val="20"/>
                <w:highlight w:val="none"/>
              </w:rPr>
              <w:t>反馈</w:t>
            </w:r>
            <w:r>
              <w:rPr>
                <w:rFonts w:hint="eastAsia"/>
                <w:sz w:val="20"/>
                <w:szCs w:val="20"/>
                <w:highlight w:val="none"/>
                <w:lang w:val="en-US" w:eastAsia="zh-CN"/>
              </w:rPr>
              <w:t>单》</w:t>
            </w:r>
            <w:r>
              <w:rPr>
                <w:rFonts w:hint="eastAsia"/>
                <w:sz w:val="20"/>
                <w:szCs w:val="20"/>
                <w:highlight w:val="none"/>
              </w:rPr>
              <w:t>，区分问题类型、</w:t>
            </w:r>
            <w:r>
              <w:rPr>
                <w:rFonts w:hint="eastAsia"/>
                <w:sz w:val="20"/>
                <w:szCs w:val="20"/>
                <w:highlight w:val="none"/>
                <w:lang w:val="en-US" w:eastAsia="zh-CN"/>
              </w:rPr>
              <w:t>轻重缓急</w:t>
            </w:r>
            <w:r>
              <w:rPr>
                <w:rFonts w:hint="eastAsia"/>
                <w:sz w:val="20"/>
                <w:szCs w:val="20"/>
                <w:highlight w:val="none"/>
              </w:rPr>
              <w:t>等</w:t>
            </w:r>
            <w:r>
              <w:rPr>
                <w:rFonts w:hint="eastAsia"/>
                <w:sz w:val="20"/>
                <w:szCs w:val="20"/>
                <w:highlight w:val="none"/>
                <w:lang w:eastAsia="zh-CN"/>
              </w:rPr>
              <w:t>，</w:t>
            </w:r>
            <w:r>
              <w:rPr>
                <w:rFonts w:hint="eastAsia"/>
                <w:sz w:val="20"/>
                <w:szCs w:val="20"/>
                <w:highlight w:val="none"/>
                <w:lang w:val="en-US" w:eastAsia="zh-CN"/>
              </w:rPr>
              <w:t>协调对接、</w:t>
            </w:r>
            <w:r>
              <w:rPr>
                <w:rFonts w:hint="eastAsia"/>
                <w:sz w:val="20"/>
                <w:szCs w:val="20"/>
                <w:highlight w:val="none"/>
              </w:rPr>
              <w:t>归口</w:t>
            </w:r>
            <w:r>
              <w:rPr>
                <w:rFonts w:hint="eastAsia"/>
                <w:sz w:val="20"/>
                <w:szCs w:val="20"/>
                <w:highlight w:val="none"/>
                <w:lang w:val="en-US" w:eastAsia="zh-CN"/>
              </w:rPr>
              <w:t>转达</w:t>
            </w:r>
            <w:r>
              <w:rPr>
                <w:rFonts w:hint="eastAsia"/>
                <w:sz w:val="20"/>
                <w:szCs w:val="20"/>
                <w:highlight w:val="none"/>
              </w:rPr>
              <w:t>，分类转办、</w:t>
            </w:r>
            <w:r>
              <w:rPr>
                <w:rFonts w:hint="eastAsia"/>
                <w:sz w:val="20"/>
                <w:szCs w:val="20"/>
                <w:highlight w:val="none"/>
                <w:lang w:val="en-US" w:eastAsia="zh-CN"/>
              </w:rPr>
              <w:t>精准交办，建立重点</w:t>
            </w:r>
            <w:r>
              <w:rPr>
                <w:rFonts w:hint="eastAsia"/>
                <w:sz w:val="20"/>
                <w:szCs w:val="20"/>
                <w:highlight w:val="none"/>
              </w:rPr>
              <w:t>督办台账。</w:t>
            </w:r>
          </w:p>
        </w:tc>
        <w:tc>
          <w:tcPr>
            <w:tcW w:w="1290" w:type="dxa"/>
            <w:vAlign w:val="center"/>
          </w:tcPr>
          <w:p w14:paraId="3F3FA0EB">
            <w:pPr>
              <w:ind w:firstLine="100" w:firstLineChars="5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  <w:highlight w:val="none"/>
              </w:rPr>
            </w:pPr>
            <w:r>
              <w:rPr>
                <w:rFonts w:hint="eastAsia"/>
                <w:sz w:val="20"/>
                <w:szCs w:val="20"/>
                <w:highlight w:val="none"/>
              </w:rPr>
              <w:t>教学信息中心、联络室负责人</w:t>
            </w:r>
          </w:p>
        </w:tc>
        <w:tc>
          <w:tcPr>
            <w:tcW w:w="1705" w:type="dxa"/>
            <w:vAlign w:val="center"/>
          </w:tcPr>
          <w:p w14:paraId="2062A91F">
            <w:pPr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highlight w:val="none"/>
                <w:lang w:val="en-US" w:eastAsia="zh-CN"/>
              </w:rPr>
              <w:t>接到反馈单2个工作日以内</w:t>
            </w:r>
          </w:p>
        </w:tc>
      </w:tr>
    </w:tbl>
    <w:p w14:paraId="51C9F4F9">
      <w:pPr>
        <w:rPr>
          <w:rFonts w:asciiTheme="minorEastAsia" w:hAnsiTheme="minorEastAsia" w:eastAsiaTheme="minorEastAsia" w:cstheme="minorEastAsia"/>
          <w:sz w:val="22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2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2206625</wp:posOffset>
                </wp:positionH>
                <wp:positionV relativeFrom="paragraph">
                  <wp:posOffset>1104265</wp:posOffset>
                </wp:positionV>
                <wp:extent cx="360045" cy="190500"/>
                <wp:effectExtent l="10795" t="5080" r="27305" b="15875"/>
                <wp:wrapNone/>
                <wp:docPr id="70" name="右箭头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60045" cy="190500"/>
                        </a:xfrm>
                        <a:prstGeom prst="rightArrow">
                          <a:avLst>
                            <a:gd name="adj1" fmla="val 50000"/>
                            <a:gd name="adj2" fmla="val 56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73.75pt;margin-top:86.95pt;height:15pt;width:28.35pt;rotation:5898240f;z-index:251663360;mso-width-relative:page;mso-height-relative:page;" fillcolor="#FFFFFF" filled="t" stroked="t" coordsize="21600,21600" o:gfxdata="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qMwcVtwAAAALAQAADwAAAAAAAAABACAAAAAiAAAAZHJzL2Rvd25yZXYu&#10;eG1sUEsBAhQAFAAAAAgAh07iQDJSIB1pAgAA5gQAAA4AAAAAAAAAAQAgAAAAKwEAAGRycy9lMm9E&#10;b2MueG1sUEsFBgAAAAAGAAYAWQEAAAYGAAAAAA==&#10;" adj="15172,5400">
                <v:fill on="t" focussize="0,0"/>
                <v:stroke color="#000000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3B65DDBA">
      <w:pPr>
        <w:rPr>
          <w:rFonts w:asciiTheme="minorEastAsia" w:hAnsiTheme="minorEastAsia" w:eastAsiaTheme="minorEastAsia" w:cstheme="minorEastAsia"/>
          <w:sz w:val="22"/>
          <w:highlight w:val="none"/>
        </w:rPr>
      </w:pPr>
    </w:p>
    <w:tbl>
      <w:tblPr>
        <w:tblStyle w:val="1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923"/>
        <w:gridCol w:w="3847"/>
        <w:gridCol w:w="1305"/>
        <w:gridCol w:w="1690"/>
      </w:tblGrid>
      <w:tr w14:paraId="2FF7D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1" w:type="dxa"/>
            <w:vAlign w:val="center"/>
          </w:tcPr>
          <w:p w14:paraId="110438D0">
            <w:pPr>
              <w:jc w:val="center"/>
              <w:rPr>
                <w:rFonts w:asciiTheme="minorEastAsia" w:hAnsiTheme="minorEastAsia" w:eastAsiaTheme="minorEastAsia" w:cstheme="minorEastAsia"/>
                <w:sz w:val="22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highlight w:val="none"/>
              </w:rPr>
              <w:t>4</w:t>
            </w:r>
          </w:p>
        </w:tc>
        <w:tc>
          <w:tcPr>
            <w:tcW w:w="923" w:type="dxa"/>
            <w:vAlign w:val="center"/>
          </w:tcPr>
          <w:p w14:paraId="1959CC64">
            <w:pPr>
              <w:jc w:val="center"/>
              <w:rPr>
                <w:rFonts w:hint="default"/>
                <w:sz w:val="22"/>
                <w:highlight w:val="none"/>
                <w:lang w:val="en-US" w:eastAsia="zh-CN"/>
              </w:rPr>
            </w:pPr>
            <w:r>
              <w:rPr>
                <w:rFonts w:hint="eastAsia"/>
                <w:sz w:val="22"/>
                <w:highlight w:val="none"/>
                <w:lang w:val="en-US" w:eastAsia="zh-CN"/>
              </w:rPr>
              <w:t>照单</w:t>
            </w:r>
          </w:p>
          <w:p w14:paraId="458FBE1B"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highlight w:val="none"/>
                <w:lang w:val="en-US" w:eastAsia="zh-CN"/>
              </w:rPr>
            </w:pPr>
            <w:r>
              <w:rPr>
                <w:rFonts w:hint="eastAsia"/>
                <w:sz w:val="22"/>
                <w:highlight w:val="none"/>
                <w:lang w:val="en-US" w:eastAsia="zh-CN"/>
              </w:rPr>
              <w:t>整改</w:t>
            </w:r>
          </w:p>
        </w:tc>
        <w:tc>
          <w:tcPr>
            <w:tcW w:w="3847" w:type="dxa"/>
            <w:vAlign w:val="center"/>
          </w:tcPr>
          <w:p w14:paraId="18378C9A">
            <w:pPr>
              <w:rPr>
                <w:rFonts w:asciiTheme="minorEastAsia" w:hAnsiTheme="minorEastAsia" w:eastAsiaTheme="minorEastAsia" w:cstheme="minorEastAsia"/>
                <w:sz w:val="20"/>
                <w:szCs w:val="20"/>
                <w:highlight w:val="none"/>
              </w:rPr>
            </w:pPr>
            <w:r>
              <w:rPr>
                <w:rFonts w:hint="eastAsia"/>
                <w:sz w:val="20"/>
                <w:szCs w:val="20"/>
                <w:highlight w:val="none"/>
                <w:lang w:val="en-US" w:eastAsia="zh-CN"/>
              </w:rPr>
              <w:t>深入调查核实，专题分析研判，明确整改责任及标准要求，全程跟进落实；</w:t>
            </w:r>
            <w:r>
              <w:rPr>
                <w:rFonts w:hint="eastAsia"/>
                <w:sz w:val="20"/>
                <w:szCs w:val="20"/>
                <w:highlight w:val="none"/>
              </w:rPr>
              <w:t>若超出</w:t>
            </w:r>
            <w:r>
              <w:rPr>
                <w:rFonts w:hint="eastAsia"/>
                <w:sz w:val="20"/>
                <w:szCs w:val="20"/>
                <w:highlight w:val="none"/>
                <w:lang w:val="en-US" w:eastAsia="zh-CN"/>
              </w:rPr>
              <w:t>自身</w:t>
            </w:r>
            <w:r>
              <w:rPr>
                <w:rFonts w:hint="eastAsia"/>
                <w:sz w:val="20"/>
                <w:szCs w:val="20"/>
                <w:highlight w:val="none"/>
              </w:rPr>
              <w:t>职责范围，</w:t>
            </w:r>
            <w:r>
              <w:rPr>
                <w:rFonts w:hint="eastAsia"/>
                <w:sz w:val="20"/>
                <w:szCs w:val="20"/>
                <w:highlight w:val="none"/>
                <w:lang w:val="en-US" w:eastAsia="zh-CN"/>
              </w:rPr>
              <w:t>可建议提级或协同</w:t>
            </w:r>
            <w:r>
              <w:rPr>
                <w:rFonts w:hint="eastAsia"/>
                <w:sz w:val="20"/>
                <w:szCs w:val="20"/>
                <w:highlight w:val="none"/>
              </w:rPr>
              <w:t>处理。</w:t>
            </w:r>
          </w:p>
        </w:tc>
        <w:tc>
          <w:tcPr>
            <w:tcW w:w="1305" w:type="dxa"/>
            <w:vAlign w:val="center"/>
          </w:tcPr>
          <w:p w14:paraId="744EA6DE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  <w:highlight w:val="none"/>
              </w:rPr>
            </w:pPr>
            <w:r>
              <w:rPr>
                <w:rFonts w:hint="eastAsia"/>
                <w:sz w:val="20"/>
                <w:szCs w:val="20"/>
                <w:highlight w:val="none"/>
              </w:rPr>
              <w:t>相关单位（部门）负责人</w:t>
            </w:r>
          </w:p>
        </w:tc>
        <w:tc>
          <w:tcPr>
            <w:tcW w:w="1690" w:type="dxa"/>
            <w:vAlign w:val="center"/>
          </w:tcPr>
          <w:p w14:paraId="31FBF4E7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highlight w:val="none"/>
                <w:lang w:val="en-US" w:eastAsia="zh-CN"/>
              </w:rPr>
              <w:t>接到反馈单2个工作日以内</w:t>
            </w:r>
          </w:p>
        </w:tc>
      </w:tr>
    </w:tbl>
    <w:p w14:paraId="6B283436">
      <w:pPr>
        <w:rPr>
          <w:rFonts w:asciiTheme="minorEastAsia" w:hAnsiTheme="minorEastAsia" w:eastAsiaTheme="minorEastAsia" w:cstheme="minorEastAsia"/>
          <w:sz w:val="22"/>
        </w:rPr>
      </w:pPr>
      <w:r>
        <w:rPr>
          <w:rFonts w:hint="eastAsia" w:asciiTheme="minorEastAsia" w:hAnsiTheme="minorEastAsia" w:eastAsiaTheme="minorEastAsia" w:cstheme="minorEastAsia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2212975</wp:posOffset>
                </wp:positionH>
                <wp:positionV relativeFrom="paragraph">
                  <wp:posOffset>110490</wp:posOffset>
                </wp:positionV>
                <wp:extent cx="360045" cy="190500"/>
                <wp:effectExtent l="13970" t="5080" r="24130" b="15875"/>
                <wp:wrapNone/>
                <wp:docPr id="396" name="右箭头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60045" cy="190500"/>
                        </a:xfrm>
                        <a:prstGeom prst="rightArrow">
                          <a:avLst>
                            <a:gd name="adj1" fmla="val 50000"/>
                            <a:gd name="adj2" fmla="val 387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74.25pt;margin-top:8.7pt;height:15pt;width:28.35pt;rotation:5898240f;z-index:251661312;mso-width-relative:page;mso-height-relative:page;" fillcolor="#FFFFFF" filled="t" stroked="t" coordsize="21600,21600" o:gfxdata="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Mg/+hDXAAAACQEAAA8AAAAAAAAAAQAgAAAAIgAAAGRycy9kb3ducmV2Lnht&#10;bFBLAQIUABQAAAAIAIdO4kDi0U1kbAIAAOgEAAAOAAAAAAAAAAEAIAAAACYBAABkcnMvZTJvRG9j&#10;LnhtbFBLBQYAAAAABgAGAFkBAAAEBgAAAAA=&#10;" adj="17172,5400">
                <v:fill on="t" focussize="0,0"/>
                <v:stroke color="#000000" miterlimit="8" joinstyle="miter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13"/>
        <w:tblpPr w:leftFromText="180" w:rightFromText="180" w:vertAnchor="text" w:horzAnchor="page" w:tblpX="1780" w:tblpY="291"/>
        <w:tblOverlap w:val="never"/>
        <w:tblW w:w="86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891"/>
        <w:gridCol w:w="3879"/>
        <w:gridCol w:w="1290"/>
        <w:gridCol w:w="1737"/>
      </w:tblGrid>
      <w:tr w14:paraId="646BB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5" w:type="dxa"/>
            <w:vAlign w:val="center"/>
          </w:tcPr>
          <w:p w14:paraId="6152959A">
            <w:pPr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5</w:t>
            </w:r>
          </w:p>
        </w:tc>
        <w:tc>
          <w:tcPr>
            <w:tcW w:w="891" w:type="dxa"/>
            <w:vAlign w:val="center"/>
          </w:tcPr>
          <w:p w14:paraId="3549EC52">
            <w:pPr>
              <w:kinsoku w:val="0"/>
              <w:jc w:val="center"/>
              <w:rPr>
                <w:rFonts w:hint="eastAsia"/>
                <w:sz w:val="22"/>
                <w:highlight w:val="none"/>
                <w:lang w:val="en-US" w:eastAsia="zh-CN"/>
              </w:rPr>
            </w:pPr>
            <w:r>
              <w:rPr>
                <w:rFonts w:hint="eastAsia"/>
                <w:sz w:val="22"/>
                <w:highlight w:val="none"/>
                <w:lang w:val="en-US" w:eastAsia="zh-CN"/>
              </w:rPr>
              <w:t>反馈</w:t>
            </w:r>
          </w:p>
          <w:p w14:paraId="2117AD58">
            <w:pPr>
              <w:kinsoku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highlight w:val="none"/>
                <w:lang w:val="en-US"/>
              </w:rPr>
            </w:pPr>
            <w:r>
              <w:rPr>
                <w:rFonts w:hint="eastAsia"/>
                <w:sz w:val="22"/>
                <w:highlight w:val="none"/>
                <w:lang w:val="en-US" w:eastAsia="zh-CN"/>
              </w:rPr>
              <w:t>说明</w:t>
            </w:r>
          </w:p>
        </w:tc>
        <w:tc>
          <w:tcPr>
            <w:tcW w:w="3879" w:type="dxa"/>
            <w:vAlign w:val="center"/>
          </w:tcPr>
          <w:p w14:paraId="3F8C1CF9">
            <w:pPr>
              <w:rPr>
                <w:rFonts w:asciiTheme="minorEastAsia" w:hAnsiTheme="minorEastAsia" w:eastAsiaTheme="minorEastAsia" w:cstheme="minorEastAsia"/>
                <w:sz w:val="20"/>
                <w:szCs w:val="20"/>
                <w:highlight w:val="none"/>
              </w:rPr>
            </w:pPr>
            <w:r>
              <w:rPr>
                <w:rFonts w:hint="eastAsia"/>
                <w:sz w:val="20"/>
                <w:szCs w:val="20"/>
                <w:highlight w:val="none"/>
              </w:rPr>
              <w:t>相关</w:t>
            </w:r>
            <w:r>
              <w:rPr>
                <w:rFonts w:hint="eastAsia"/>
                <w:sz w:val="20"/>
                <w:szCs w:val="20"/>
                <w:highlight w:val="none"/>
                <w:lang w:val="en-US" w:eastAsia="zh-CN"/>
              </w:rPr>
              <w:t>责任</w:t>
            </w:r>
            <w:r>
              <w:rPr>
                <w:rFonts w:hint="eastAsia"/>
                <w:sz w:val="20"/>
                <w:szCs w:val="20"/>
                <w:highlight w:val="none"/>
              </w:rPr>
              <w:t>单位（部门）</w:t>
            </w:r>
            <w:r>
              <w:rPr>
                <w:rFonts w:hint="eastAsia"/>
                <w:sz w:val="20"/>
                <w:szCs w:val="20"/>
                <w:highlight w:val="none"/>
                <w:lang w:val="en-US" w:eastAsia="zh-CN"/>
              </w:rPr>
              <w:t>填写情况说明</w:t>
            </w:r>
            <w:r>
              <w:rPr>
                <w:rFonts w:hint="eastAsia"/>
                <w:sz w:val="20"/>
                <w:szCs w:val="20"/>
                <w:highlight w:val="none"/>
              </w:rPr>
              <w:t>，</w:t>
            </w:r>
            <w:r>
              <w:rPr>
                <w:rFonts w:hint="eastAsia"/>
                <w:sz w:val="20"/>
                <w:szCs w:val="20"/>
                <w:highlight w:val="none"/>
                <w:lang w:val="en-US" w:eastAsia="zh-CN"/>
              </w:rPr>
              <w:t>线上</w:t>
            </w:r>
            <w:r>
              <w:rPr>
                <w:rFonts w:hint="eastAsia"/>
                <w:sz w:val="20"/>
                <w:szCs w:val="20"/>
                <w:highlight w:val="none"/>
              </w:rPr>
              <w:t>作出答复</w:t>
            </w:r>
            <w:r>
              <w:rPr>
                <w:rFonts w:hint="eastAsia"/>
                <w:sz w:val="20"/>
                <w:szCs w:val="20"/>
                <w:highlight w:val="none"/>
                <w:lang w:val="en-US" w:eastAsia="zh-CN"/>
              </w:rPr>
              <w:t>；</w:t>
            </w:r>
            <w:r>
              <w:rPr>
                <w:rFonts w:hint="eastAsia"/>
                <w:sz w:val="20"/>
                <w:szCs w:val="20"/>
                <w:highlight w:val="none"/>
              </w:rPr>
              <w:t>特殊情况下可面对面沟通，会商</w:t>
            </w:r>
            <w:r>
              <w:rPr>
                <w:rFonts w:hint="eastAsia"/>
                <w:sz w:val="20"/>
                <w:szCs w:val="20"/>
                <w:highlight w:val="none"/>
                <w:lang w:val="en-US" w:eastAsia="zh-CN"/>
              </w:rPr>
              <w:t>研究</w:t>
            </w:r>
            <w:r>
              <w:rPr>
                <w:rFonts w:hint="eastAsia"/>
                <w:sz w:val="20"/>
                <w:szCs w:val="20"/>
                <w:highlight w:val="none"/>
              </w:rPr>
              <w:t>解决方案。</w:t>
            </w:r>
          </w:p>
        </w:tc>
        <w:tc>
          <w:tcPr>
            <w:tcW w:w="1290" w:type="dxa"/>
            <w:vAlign w:val="center"/>
          </w:tcPr>
          <w:p w14:paraId="5F689A7A">
            <w:pPr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  <w:highlight w:val="none"/>
              </w:rPr>
            </w:pPr>
            <w:r>
              <w:rPr>
                <w:rFonts w:hint="eastAsia"/>
                <w:sz w:val="20"/>
                <w:szCs w:val="20"/>
                <w:highlight w:val="none"/>
              </w:rPr>
              <w:t>相关单位（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部门）负责人</w:t>
            </w:r>
          </w:p>
        </w:tc>
        <w:tc>
          <w:tcPr>
            <w:tcW w:w="1737" w:type="dxa"/>
            <w:vAlign w:val="center"/>
          </w:tcPr>
          <w:p w14:paraId="6B59882E">
            <w:pPr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highlight w:val="none"/>
                <w:lang w:val="en-US" w:eastAsia="zh-CN"/>
              </w:rPr>
              <w:t>整改办结1个工作日以内</w:t>
            </w:r>
          </w:p>
        </w:tc>
      </w:tr>
    </w:tbl>
    <w:p w14:paraId="0CA8B3A3">
      <w:pPr>
        <w:rPr>
          <w:rFonts w:asciiTheme="minorEastAsia" w:hAnsiTheme="minorEastAsia" w:eastAsiaTheme="minorEastAsia" w:cstheme="minorEastAsia"/>
          <w:sz w:val="22"/>
        </w:rPr>
      </w:pPr>
      <w:r>
        <w:rPr>
          <w:rFonts w:hint="eastAsia" w:asciiTheme="minorEastAsia" w:hAnsiTheme="minorEastAsia" w:eastAsiaTheme="minorEastAsia" w:cstheme="minorEastAsia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2219325</wp:posOffset>
                </wp:positionH>
                <wp:positionV relativeFrom="paragraph">
                  <wp:posOffset>899795</wp:posOffset>
                </wp:positionV>
                <wp:extent cx="360045" cy="190500"/>
                <wp:effectExtent l="14605" t="5080" r="23495" b="15875"/>
                <wp:wrapNone/>
                <wp:docPr id="394" name="右箭头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60045" cy="190500"/>
                        </a:xfrm>
                        <a:prstGeom prst="rightArrow">
                          <a:avLst>
                            <a:gd name="adj1" fmla="val 50000"/>
                            <a:gd name="adj2" fmla="val 381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74.75pt;margin-top:70.85pt;height:15pt;width:28.35pt;rotation:5898240f;z-index:251660288;mso-width-relative:page;mso-height-relative:page;" fillcolor="#FFFFFF" filled="t" stroked="t" coordsize="21600,21600" o:gfxdata="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okI9qdkAAAALAQAADwAAAAAAAAABACAAAAAiAAAAZHJzL2Rvd25yZXYu&#10;eG1sUEsBAhQAFAAAAAgAh07iQIgMX+NsAgAA6AQAAA4AAAAAAAAAAQAgAAAAKAEAAGRycy9lMm9E&#10;b2MueG1sUEsFBgAAAAAGAAYAWQEAAAYGAAAAAA==&#10;" adj="17239,5400">
                <v:fill on="t" focussize="0,0"/>
                <v:stroke color="#000000" miterlimit="8" joinstyle="miter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13"/>
        <w:tblpPr w:leftFromText="180" w:rightFromText="180" w:vertAnchor="text" w:horzAnchor="page" w:tblpX="1842" w:tblpY="298"/>
        <w:tblOverlap w:val="never"/>
        <w:tblW w:w="85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938"/>
        <w:gridCol w:w="3831"/>
        <w:gridCol w:w="1321"/>
        <w:gridCol w:w="1741"/>
      </w:tblGrid>
      <w:tr w14:paraId="389FE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  <w:vAlign w:val="center"/>
          </w:tcPr>
          <w:p w14:paraId="70ABD266">
            <w:pPr>
              <w:jc w:val="center"/>
              <w:rPr>
                <w:rFonts w:asciiTheme="minorEastAsia" w:hAnsiTheme="minorEastAsia" w:eastAsiaTheme="minorEastAsia" w:cstheme="minorEastAsia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</w:rPr>
              <w:t>6</w:t>
            </w:r>
          </w:p>
        </w:tc>
        <w:tc>
          <w:tcPr>
            <w:tcW w:w="938" w:type="dxa"/>
            <w:vAlign w:val="center"/>
          </w:tcPr>
          <w:p w14:paraId="0EF7A524">
            <w:pPr>
              <w:jc w:val="center"/>
              <w:rPr>
                <w:rFonts w:hint="eastAsia" w:asciiTheme="minorEastAsia" w:hAnsiTheme="minorEastAsia" w:cstheme="minorEastAsia"/>
                <w:sz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lang w:val="en-US" w:eastAsia="zh-CN"/>
              </w:rPr>
              <w:t>监督</w:t>
            </w:r>
          </w:p>
          <w:p w14:paraId="0C5A6901">
            <w:pPr>
              <w:jc w:val="center"/>
              <w:rPr>
                <w:rFonts w:hint="default" w:eastAsia="宋体" w:asciiTheme="minorEastAsia" w:hAnsiTheme="minorEastAsia" w:cstheme="minorEastAsia"/>
                <w:sz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lang w:val="en-US" w:eastAsia="zh-CN"/>
              </w:rPr>
              <w:t>评价</w:t>
            </w:r>
          </w:p>
        </w:tc>
        <w:tc>
          <w:tcPr>
            <w:tcW w:w="3831" w:type="dxa"/>
            <w:vAlign w:val="center"/>
          </w:tcPr>
          <w:p w14:paraId="12EC4E8C">
            <w:pPr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highlight w:val="none"/>
                <w:lang w:val="en-US" w:eastAsia="zh-CN"/>
              </w:rPr>
              <w:t>通过手机端“齐鲁理工微服务”，对</w:t>
            </w: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highlight w:val="none"/>
                <w:lang w:eastAsia="zh-CN"/>
              </w:rPr>
              <w:t>“</w:t>
            </w: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highlight w:val="none"/>
                <w:lang w:val="en-US" w:eastAsia="zh-CN"/>
              </w:rPr>
              <w:t>提交-受理（转办）-接单（处理）-反馈（答复）-评价</w:t>
            </w: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highlight w:val="none"/>
                <w:lang w:eastAsia="zh-CN"/>
              </w:rPr>
              <w:t>”</w:t>
            </w: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highlight w:val="none"/>
                <w:lang w:val="en-US" w:eastAsia="zh-CN"/>
              </w:rPr>
              <w:t>全流程工作质量，进行满意度评价</w:t>
            </w:r>
          </w:p>
        </w:tc>
        <w:tc>
          <w:tcPr>
            <w:tcW w:w="1321" w:type="dxa"/>
            <w:vAlign w:val="center"/>
          </w:tcPr>
          <w:p w14:paraId="0F8D45BB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学生教学信息员</w:t>
            </w:r>
          </w:p>
        </w:tc>
        <w:tc>
          <w:tcPr>
            <w:tcW w:w="1741" w:type="dxa"/>
            <w:vAlign w:val="center"/>
          </w:tcPr>
          <w:p w14:paraId="48E38DEA">
            <w:pPr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1个教学周（5个工作日）以内</w:t>
            </w:r>
          </w:p>
        </w:tc>
      </w:tr>
    </w:tbl>
    <w:p w14:paraId="497CDB92">
      <w:pPr>
        <w:rPr>
          <w:rFonts w:hint="eastAsia" w:asciiTheme="minorEastAsia" w:hAnsiTheme="minorEastAsia" w:eastAsiaTheme="minorEastAsia" w:cstheme="minorEastAsia"/>
          <w:sz w:val="22"/>
        </w:rPr>
      </w:pPr>
      <w:bookmarkStart w:id="2" w:name="_GoBack"/>
      <w:bookmarkEnd w:id="2"/>
    </w:p>
    <w:sectPr>
      <w:pgSz w:w="11906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32CC153D-8B59-4EAA-91E0-92F5ACA2DA5F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  <w:embedRegular r:id="rId2" w:fontKey="{B28C1508-C492-4C2C-BF45-A80C2DDD2BBA}"/>
  </w:font>
  <w:font w:name="LXGWWenKaiGB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mirrorMargin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yNTg3OWMyZGJmZmExYTFlNzA2ZDE1MTgyNTg0NzYifQ=="/>
  </w:docVars>
  <w:rsids>
    <w:rsidRoot w:val="009F2031"/>
    <w:rsid w:val="000479F1"/>
    <w:rsid w:val="000B2E46"/>
    <w:rsid w:val="000B56A6"/>
    <w:rsid w:val="002015B8"/>
    <w:rsid w:val="00245F42"/>
    <w:rsid w:val="00267499"/>
    <w:rsid w:val="00326C98"/>
    <w:rsid w:val="003B3E9F"/>
    <w:rsid w:val="00581654"/>
    <w:rsid w:val="005E0B7A"/>
    <w:rsid w:val="00636825"/>
    <w:rsid w:val="00754312"/>
    <w:rsid w:val="007A6703"/>
    <w:rsid w:val="007D42DE"/>
    <w:rsid w:val="00832521"/>
    <w:rsid w:val="0094258D"/>
    <w:rsid w:val="009950A1"/>
    <w:rsid w:val="00997513"/>
    <w:rsid w:val="009F2031"/>
    <w:rsid w:val="00A100CE"/>
    <w:rsid w:val="00A7107E"/>
    <w:rsid w:val="00A86CB4"/>
    <w:rsid w:val="00A939E0"/>
    <w:rsid w:val="00B2005C"/>
    <w:rsid w:val="00B269BF"/>
    <w:rsid w:val="00CA2E71"/>
    <w:rsid w:val="00D42CB0"/>
    <w:rsid w:val="00D744E6"/>
    <w:rsid w:val="00D91055"/>
    <w:rsid w:val="00D96BA1"/>
    <w:rsid w:val="00DE2424"/>
    <w:rsid w:val="00E54297"/>
    <w:rsid w:val="00E931DA"/>
    <w:rsid w:val="00ED3550"/>
    <w:rsid w:val="013E4434"/>
    <w:rsid w:val="01720F10"/>
    <w:rsid w:val="01B83F92"/>
    <w:rsid w:val="01ED65D3"/>
    <w:rsid w:val="022C24DE"/>
    <w:rsid w:val="02457A2C"/>
    <w:rsid w:val="026454EB"/>
    <w:rsid w:val="02927C7A"/>
    <w:rsid w:val="029C048D"/>
    <w:rsid w:val="02E13D61"/>
    <w:rsid w:val="037A2A3A"/>
    <w:rsid w:val="03810CCF"/>
    <w:rsid w:val="052438CC"/>
    <w:rsid w:val="05656433"/>
    <w:rsid w:val="05BC4FCA"/>
    <w:rsid w:val="05D73631"/>
    <w:rsid w:val="060C68AF"/>
    <w:rsid w:val="06E96C87"/>
    <w:rsid w:val="06F430DA"/>
    <w:rsid w:val="06F47E67"/>
    <w:rsid w:val="071A14A2"/>
    <w:rsid w:val="0911764D"/>
    <w:rsid w:val="095F1E9D"/>
    <w:rsid w:val="09E24960"/>
    <w:rsid w:val="0A616975"/>
    <w:rsid w:val="0ABF25F6"/>
    <w:rsid w:val="0B27035A"/>
    <w:rsid w:val="0B7B11E0"/>
    <w:rsid w:val="0C196F79"/>
    <w:rsid w:val="0DA960D7"/>
    <w:rsid w:val="0E47655F"/>
    <w:rsid w:val="0E875077"/>
    <w:rsid w:val="0EE80130"/>
    <w:rsid w:val="0F30252B"/>
    <w:rsid w:val="10013A51"/>
    <w:rsid w:val="10AC054D"/>
    <w:rsid w:val="10EA17D0"/>
    <w:rsid w:val="11904838"/>
    <w:rsid w:val="11E332CA"/>
    <w:rsid w:val="12002849"/>
    <w:rsid w:val="12557BD1"/>
    <w:rsid w:val="12DB2A76"/>
    <w:rsid w:val="12F45324"/>
    <w:rsid w:val="1364052B"/>
    <w:rsid w:val="14074EEC"/>
    <w:rsid w:val="14255E4C"/>
    <w:rsid w:val="14A44D26"/>
    <w:rsid w:val="1512030D"/>
    <w:rsid w:val="16226A34"/>
    <w:rsid w:val="165A18B8"/>
    <w:rsid w:val="17525848"/>
    <w:rsid w:val="177A18AE"/>
    <w:rsid w:val="179D474C"/>
    <w:rsid w:val="17D31922"/>
    <w:rsid w:val="17FF5486"/>
    <w:rsid w:val="182D40BB"/>
    <w:rsid w:val="18AD3F21"/>
    <w:rsid w:val="190D7575"/>
    <w:rsid w:val="19143034"/>
    <w:rsid w:val="1A426D27"/>
    <w:rsid w:val="1C0758EC"/>
    <w:rsid w:val="1E20699A"/>
    <w:rsid w:val="1E2423CF"/>
    <w:rsid w:val="1EA30ACA"/>
    <w:rsid w:val="1F205E93"/>
    <w:rsid w:val="20EC135F"/>
    <w:rsid w:val="20FB4CDF"/>
    <w:rsid w:val="21260D15"/>
    <w:rsid w:val="21D44DC9"/>
    <w:rsid w:val="224153BF"/>
    <w:rsid w:val="22424F89"/>
    <w:rsid w:val="24046D5B"/>
    <w:rsid w:val="24183AB4"/>
    <w:rsid w:val="24577525"/>
    <w:rsid w:val="24CA6F0B"/>
    <w:rsid w:val="251E0FD4"/>
    <w:rsid w:val="25430311"/>
    <w:rsid w:val="258A1146"/>
    <w:rsid w:val="26651D48"/>
    <w:rsid w:val="269E759F"/>
    <w:rsid w:val="27120CCA"/>
    <w:rsid w:val="27537C1A"/>
    <w:rsid w:val="27FD2064"/>
    <w:rsid w:val="280C56C1"/>
    <w:rsid w:val="2865672B"/>
    <w:rsid w:val="28C14048"/>
    <w:rsid w:val="29BF68E5"/>
    <w:rsid w:val="2A2B2EF8"/>
    <w:rsid w:val="2A790107"/>
    <w:rsid w:val="2B7F0F82"/>
    <w:rsid w:val="2BB91AA5"/>
    <w:rsid w:val="2BC479C6"/>
    <w:rsid w:val="2BD33847"/>
    <w:rsid w:val="2BFD2672"/>
    <w:rsid w:val="2CE11F94"/>
    <w:rsid w:val="2D236661"/>
    <w:rsid w:val="2E10428E"/>
    <w:rsid w:val="2ECE26EE"/>
    <w:rsid w:val="2EF41BEA"/>
    <w:rsid w:val="2F4C4AC1"/>
    <w:rsid w:val="301B57BD"/>
    <w:rsid w:val="30E85E4D"/>
    <w:rsid w:val="30FB7B33"/>
    <w:rsid w:val="31A7013C"/>
    <w:rsid w:val="32816904"/>
    <w:rsid w:val="32FC238E"/>
    <w:rsid w:val="33EF31E8"/>
    <w:rsid w:val="34137D7F"/>
    <w:rsid w:val="3458413C"/>
    <w:rsid w:val="347B6A6E"/>
    <w:rsid w:val="34CF5F34"/>
    <w:rsid w:val="354722C0"/>
    <w:rsid w:val="35702107"/>
    <w:rsid w:val="358164C7"/>
    <w:rsid w:val="360A60B7"/>
    <w:rsid w:val="36AF5145"/>
    <w:rsid w:val="37BE360E"/>
    <w:rsid w:val="38BD4359"/>
    <w:rsid w:val="38C634C2"/>
    <w:rsid w:val="38F90572"/>
    <w:rsid w:val="395974E9"/>
    <w:rsid w:val="39AE5698"/>
    <w:rsid w:val="3A2636DC"/>
    <w:rsid w:val="3A9D568F"/>
    <w:rsid w:val="3BE25B1E"/>
    <w:rsid w:val="3CCF6954"/>
    <w:rsid w:val="3D2C519F"/>
    <w:rsid w:val="3E595CC5"/>
    <w:rsid w:val="3E8B1F1E"/>
    <w:rsid w:val="3F4F0DC4"/>
    <w:rsid w:val="3FE10479"/>
    <w:rsid w:val="411035EF"/>
    <w:rsid w:val="415B42BC"/>
    <w:rsid w:val="419326A7"/>
    <w:rsid w:val="41CE6B33"/>
    <w:rsid w:val="42846FB4"/>
    <w:rsid w:val="4319678B"/>
    <w:rsid w:val="434216E5"/>
    <w:rsid w:val="43713565"/>
    <w:rsid w:val="446B4FA9"/>
    <w:rsid w:val="44F67366"/>
    <w:rsid w:val="4565155C"/>
    <w:rsid w:val="45795956"/>
    <w:rsid w:val="45CF0497"/>
    <w:rsid w:val="460F28D0"/>
    <w:rsid w:val="46C277A4"/>
    <w:rsid w:val="46CC3E6D"/>
    <w:rsid w:val="47F72214"/>
    <w:rsid w:val="485024DA"/>
    <w:rsid w:val="4850698B"/>
    <w:rsid w:val="49666D7D"/>
    <w:rsid w:val="49B36A6C"/>
    <w:rsid w:val="4A2C0CE9"/>
    <w:rsid w:val="4A4F1DC3"/>
    <w:rsid w:val="4AB81212"/>
    <w:rsid w:val="4B70261C"/>
    <w:rsid w:val="4C1B0CC1"/>
    <w:rsid w:val="4F5E7A81"/>
    <w:rsid w:val="4F7615B7"/>
    <w:rsid w:val="4FE012C8"/>
    <w:rsid w:val="51316796"/>
    <w:rsid w:val="51AA1E59"/>
    <w:rsid w:val="51C909AD"/>
    <w:rsid w:val="52BA4CC2"/>
    <w:rsid w:val="533612DD"/>
    <w:rsid w:val="535534C5"/>
    <w:rsid w:val="54811947"/>
    <w:rsid w:val="54B73E65"/>
    <w:rsid w:val="554B2C64"/>
    <w:rsid w:val="55EF64C5"/>
    <w:rsid w:val="57701268"/>
    <w:rsid w:val="586F18FA"/>
    <w:rsid w:val="588B772C"/>
    <w:rsid w:val="59AD2738"/>
    <w:rsid w:val="5D0D194C"/>
    <w:rsid w:val="5D114237"/>
    <w:rsid w:val="5D91497D"/>
    <w:rsid w:val="5DA22EA2"/>
    <w:rsid w:val="5E165C67"/>
    <w:rsid w:val="5E573DCB"/>
    <w:rsid w:val="5F035266"/>
    <w:rsid w:val="5F4361F7"/>
    <w:rsid w:val="5F49726F"/>
    <w:rsid w:val="5FE20302"/>
    <w:rsid w:val="60D83E47"/>
    <w:rsid w:val="628757F1"/>
    <w:rsid w:val="63E42EEF"/>
    <w:rsid w:val="64CF5FB7"/>
    <w:rsid w:val="65295181"/>
    <w:rsid w:val="659A0D6E"/>
    <w:rsid w:val="65FB0A4F"/>
    <w:rsid w:val="66060C9B"/>
    <w:rsid w:val="660F1CB0"/>
    <w:rsid w:val="66650986"/>
    <w:rsid w:val="667F3537"/>
    <w:rsid w:val="67284290"/>
    <w:rsid w:val="686F2754"/>
    <w:rsid w:val="68763D18"/>
    <w:rsid w:val="68FB0F45"/>
    <w:rsid w:val="69034F74"/>
    <w:rsid w:val="69A1607A"/>
    <w:rsid w:val="69D31E5F"/>
    <w:rsid w:val="69D519B1"/>
    <w:rsid w:val="6A5A6906"/>
    <w:rsid w:val="6A902328"/>
    <w:rsid w:val="6AC066BD"/>
    <w:rsid w:val="6B1E16E2"/>
    <w:rsid w:val="6CAE6A95"/>
    <w:rsid w:val="6D0A2E73"/>
    <w:rsid w:val="6D731ACD"/>
    <w:rsid w:val="6E1D23E7"/>
    <w:rsid w:val="6E3F02ED"/>
    <w:rsid w:val="6F0D2AF2"/>
    <w:rsid w:val="6F340D22"/>
    <w:rsid w:val="70C10EDA"/>
    <w:rsid w:val="71213AE5"/>
    <w:rsid w:val="71717825"/>
    <w:rsid w:val="717C2C3C"/>
    <w:rsid w:val="71CF0C5C"/>
    <w:rsid w:val="7385000F"/>
    <w:rsid w:val="73981CB2"/>
    <w:rsid w:val="74C74B98"/>
    <w:rsid w:val="7591740F"/>
    <w:rsid w:val="76BD26BC"/>
    <w:rsid w:val="76C54050"/>
    <w:rsid w:val="774B1AB0"/>
    <w:rsid w:val="78EF46BD"/>
    <w:rsid w:val="797059C9"/>
    <w:rsid w:val="7B6E42E8"/>
    <w:rsid w:val="7BF3298D"/>
    <w:rsid w:val="7CF0362E"/>
    <w:rsid w:val="7D443A12"/>
    <w:rsid w:val="7DAB1CDA"/>
    <w:rsid w:val="7DF10ED8"/>
    <w:rsid w:val="7EFA448C"/>
    <w:rsid w:val="7F67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jc w:val="center"/>
      <w:outlineLvl w:val="0"/>
    </w:pPr>
    <w:rPr>
      <w:rFonts w:eastAsia="华文中宋"/>
      <w:b/>
      <w:bCs/>
      <w:kern w:val="44"/>
      <w:sz w:val="36"/>
      <w:szCs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1"/>
    <w:qFormat/>
    <w:uiPriority w:val="0"/>
    <w:pPr>
      <w:jc w:val="left"/>
    </w:pPr>
  </w:style>
  <w:style w:type="paragraph" w:styleId="5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6">
    <w:name w:val="Body Text Indent 2"/>
    <w:basedOn w:val="1"/>
    <w:autoRedefine/>
    <w:qFormat/>
    <w:uiPriority w:val="0"/>
    <w:pPr>
      <w:spacing w:line="360" w:lineRule="exact"/>
      <w:ind w:firstLine="422" w:firstLineChars="200"/>
    </w:pPr>
    <w:rPr>
      <w:rFonts w:eastAsia="仿宋_GB2312"/>
      <w:b/>
      <w:bCs/>
      <w:szCs w:val="30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annotation subject"/>
    <w:basedOn w:val="4"/>
    <w:next w:val="4"/>
    <w:link w:val="22"/>
    <w:qFormat/>
    <w:uiPriority w:val="0"/>
    <w:rPr>
      <w:b/>
      <w:bCs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annotation reference"/>
    <w:basedOn w:val="14"/>
    <w:qFormat/>
    <w:uiPriority w:val="0"/>
    <w:rPr>
      <w:sz w:val="21"/>
      <w:szCs w:val="21"/>
    </w:rPr>
  </w:style>
  <w:style w:type="paragraph" w:customStyle="1" w:styleId="17">
    <w:name w:val="BodyText1I2"/>
    <w:basedOn w:val="18"/>
    <w:autoRedefine/>
    <w:qFormat/>
    <w:uiPriority w:val="0"/>
    <w:pPr>
      <w:ind w:firstLine="420"/>
    </w:pPr>
    <w:rPr>
      <w:rFonts w:ascii="Times New Roman"/>
    </w:rPr>
  </w:style>
  <w:style w:type="paragraph" w:customStyle="1" w:styleId="18">
    <w:name w:val="BodyTextIndent"/>
    <w:basedOn w:val="1"/>
    <w:autoRedefine/>
    <w:qFormat/>
    <w:uiPriority w:val="0"/>
    <w:pPr>
      <w:spacing w:line="560" w:lineRule="exact"/>
      <w:ind w:firstLine="640" w:firstLineChars="200"/>
      <w:textAlignment w:val="baseline"/>
    </w:pPr>
    <w:rPr>
      <w:rFonts w:ascii="仿宋_GB2312" w:hAnsi="Times New Roman"/>
      <w:sz w:val="36"/>
      <w:szCs w:val="36"/>
    </w:rPr>
  </w:style>
  <w:style w:type="character" w:customStyle="1" w:styleId="19">
    <w:name w:val="页脚 Char"/>
    <w:link w:val="8"/>
    <w:qFormat/>
    <w:uiPriority w:val="0"/>
    <w:rPr>
      <w:kern w:val="2"/>
      <w:sz w:val="18"/>
      <w:szCs w:val="18"/>
    </w:rPr>
  </w:style>
  <w:style w:type="character" w:customStyle="1" w:styleId="20">
    <w:name w:val="页眉 Char"/>
    <w:link w:val="9"/>
    <w:qFormat/>
    <w:uiPriority w:val="0"/>
    <w:rPr>
      <w:kern w:val="2"/>
      <w:sz w:val="18"/>
      <w:szCs w:val="18"/>
    </w:rPr>
  </w:style>
  <w:style w:type="character" w:customStyle="1" w:styleId="21">
    <w:name w:val="批注文字 Char"/>
    <w:basedOn w:val="14"/>
    <w:link w:val="4"/>
    <w:qFormat/>
    <w:uiPriority w:val="0"/>
    <w:rPr>
      <w:kern w:val="2"/>
      <w:sz w:val="21"/>
      <w:szCs w:val="24"/>
    </w:rPr>
  </w:style>
  <w:style w:type="character" w:customStyle="1" w:styleId="22">
    <w:name w:val="批注主题 Char"/>
    <w:basedOn w:val="21"/>
    <w:link w:val="11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4318</Words>
  <Characters>4470</Characters>
  <Lines>25</Lines>
  <Paragraphs>7</Paragraphs>
  <TotalTime>17</TotalTime>
  <ScaleCrop>false</ScaleCrop>
  <LinksUpToDate>false</LinksUpToDate>
  <CharactersWithSpaces>4492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2025-02-19T08:43:00Z</dcterms:created>
  <dc:creator>Administrator</dc:creator>
  <cp:lastModifiedBy>刘其坤</cp:lastModifiedBy>
  <dcterms:modified xsi:type="dcterms:W3CDTF">2026-09-02T06:38:54Z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01392B5329B34051927F2DDC942E996C_13</vt:lpwstr>
  </property>
  <property fmtid="{D5CDD505-2E9C-101B-9397-08002B2CF9AE}" pid="4" name="KSOTemplateDocerSaveRecord">
    <vt:lpwstr>eyJoZGlkIjoiYTc0Mjg4YmRhYzNlNjJmYzRkZDBiZThjOWFhMWVmODciLCJ1c2VySWQiOiIxNDU0NjQyODUwIn0=</vt:lpwstr>
  </property>
</Properties>
</file>